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3CD6FA8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4EE8978F" w14:textId="0F976E67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C83928">
        <w:rPr>
          <w:rFonts w:ascii="Times New Roman" w:hAnsi="Times New Roman"/>
          <w:b/>
          <w:bCs/>
        </w:rPr>
        <w:t>sy IV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766061">
        <w:rPr>
          <w:rFonts w:ascii="Times New Roman" w:hAnsi="Times New Roman"/>
          <w:b/>
          <w:bCs/>
        </w:rPr>
        <w:t xml:space="preserve"> nr </w:t>
      </w:r>
      <w:r w:rsidR="00660D3C">
        <w:rPr>
          <w:rFonts w:ascii="Times New Roman" w:hAnsi="Times New Roman"/>
          <w:b/>
          <w:bCs/>
        </w:rPr>
        <w:t>3</w:t>
      </w:r>
      <w:bookmarkStart w:id="0" w:name="_GoBack"/>
      <w:bookmarkEnd w:id="0"/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2AD1AEA" w:rsidR="0021514A" w:rsidRDefault="001F4497" w:rsidP="001F4497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38924944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</w:t>
            </w:r>
            <w:r w:rsidRPr="00906A0E">
              <w:rPr>
                <w:rFonts w:ascii="Times New Roman" w:hAnsi="Times New Roman"/>
              </w:rPr>
              <w:lastRenderedPageBreak/>
              <w:t>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niespójna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uniemożliwiające </w:t>
            </w:r>
            <w:r w:rsidRPr="00906A0E">
              <w:rPr>
                <w:rFonts w:ascii="Times New Roman" w:hAnsi="Times New Roman"/>
              </w:rPr>
              <w:lastRenderedPageBreak/>
              <w:t>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305A2" w14:textId="77777777" w:rsidR="00AB51F7" w:rsidRDefault="00AB51F7" w:rsidP="00660D21">
      <w:pPr>
        <w:spacing w:after="0" w:line="240" w:lineRule="auto"/>
      </w:pPr>
      <w:r>
        <w:separator/>
      </w:r>
    </w:p>
  </w:endnote>
  <w:endnote w:type="continuationSeparator" w:id="0">
    <w:p w14:paraId="18A40B65" w14:textId="77777777" w:rsidR="00AB51F7" w:rsidRDefault="00AB51F7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0D3C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11645" w14:textId="77777777" w:rsidR="00AB51F7" w:rsidRDefault="00AB51F7" w:rsidP="00660D21">
      <w:pPr>
        <w:spacing w:after="0" w:line="240" w:lineRule="auto"/>
      </w:pPr>
      <w:r>
        <w:separator/>
      </w:r>
    </w:p>
  </w:footnote>
  <w:footnote w:type="continuationSeparator" w:id="0">
    <w:p w14:paraId="4E2F1F4B" w14:textId="77777777" w:rsidR="00AB51F7" w:rsidRDefault="00AB51F7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1F4497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60D3C"/>
    <w:rsid w:val="00670B0E"/>
    <w:rsid w:val="0068237A"/>
    <w:rsid w:val="006A1DBB"/>
    <w:rsid w:val="006C6BCE"/>
    <w:rsid w:val="00715486"/>
    <w:rsid w:val="00766061"/>
    <w:rsid w:val="00777877"/>
    <w:rsid w:val="007A48DD"/>
    <w:rsid w:val="007B4CDB"/>
    <w:rsid w:val="007C3906"/>
    <w:rsid w:val="007C4DB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7293F"/>
    <w:rsid w:val="00AA2474"/>
    <w:rsid w:val="00AB51F7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B15DE"/>
    <w:rsid w:val="00BD11B0"/>
    <w:rsid w:val="00C0103A"/>
    <w:rsid w:val="00C27D52"/>
    <w:rsid w:val="00C3366E"/>
    <w:rsid w:val="00C346E9"/>
    <w:rsid w:val="00C52845"/>
    <w:rsid w:val="00C63FAC"/>
    <w:rsid w:val="00C83928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8242317F-991B-4538-B88F-A7C06473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8413-2063-442F-AD1B-DC7FB0F0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2024-09-17T07:47:00Z</dcterms:created>
  <dcterms:modified xsi:type="dcterms:W3CDTF">2024-09-17T07:47:00Z</dcterms:modified>
</cp:coreProperties>
</file>