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ytu1NieuzywaneTytuy"/>
        <w:rPr>
          <w:rStyle w:val="Bold"/>
          <w:rFonts w:ascii="Calibri" w:hAnsi="Calibri" w:asciiTheme="minorHAnsi" w:hAnsiTheme="minorHAnsi"/>
          <w:color w:val="154194"/>
          <w:sz w:val="38"/>
          <w:szCs w:val="38"/>
        </w:rPr>
      </w:pPr>
      <w:r>
        <w:rPr>
          <w:rFonts w:asciiTheme="minorHAnsi" w:hAnsiTheme="minorHAnsi" w:ascii="Calibri" w:hAnsi="Calibri"/>
          <w:color w:val="154194"/>
          <w:sz w:val="38"/>
          <w:szCs w:val="3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Wymagania edukacyjne dla uczniów klasy I  Branżowej  </w:t>
      </w:r>
      <w:r>
        <w:rPr>
          <w:b/>
          <w:bCs/>
          <w:sz w:val="28"/>
          <w:szCs w:val="28"/>
        </w:rPr>
        <w:t xml:space="preserve">CKZiU </w:t>
      </w:r>
      <w:r>
        <w:rPr>
          <w:b/>
          <w:bCs/>
          <w:sz w:val="28"/>
          <w:szCs w:val="28"/>
        </w:rPr>
        <w:t>– EDB</w:t>
      </w:r>
    </w:p>
    <w:p>
      <w:pPr>
        <w:pStyle w:val="Normal"/>
        <w:jc w:val="center"/>
        <w:rPr/>
      </w:pPr>
      <w:r>
        <w:rPr/>
        <w:t>Nazwa programu: Program nauczania Edukacja dla bezpieczeństwa</w:t>
      </w:r>
    </w:p>
    <w:p>
      <w:pPr>
        <w:pStyle w:val="Normal"/>
        <w:jc w:val="center"/>
        <w:rPr/>
      </w:pPr>
      <w:r>
        <w:rPr/>
        <w:t>Podręcznik: Edukacja Dla Bezpieczeństwa Wsip B.Breitkopf, M.Cieśla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Tytu1NieuzywaneTytuy"/>
        <w:rPr>
          <w:rStyle w:val="Bold"/>
          <w:rFonts w:ascii="Calibri" w:hAnsi="Calibri" w:asciiTheme="minorHAnsi" w:hAnsiTheme="minorHAnsi"/>
          <w:color w:val="154194"/>
          <w:sz w:val="38"/>
          <w:szCs w:val="38"/>
        </w:rPr>
      </w:pPr>
      <w:r>
        <w:rPr>
          <w:rFonts w:asciiTheme="minorHAnsi" w:hAnsiTheme="minorHAnsi" w:ascii="Calibri" w:hAnsi="Calibri"/>
          <w:color w:val="154194"/>
          <w:sz w:val="38"/>
          <w:szCs w:val="38"/>
        </w:rPr>
      </w:r>
    </w:p>
    <w:tbl>
      <w:tblPr>
        <w:tblW w:w="15005" w:type="dxa"/>
        <w:jc w:val="left"/>
        <w:tblInd w:w="-8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firstRow="0" w:noVBand="0" w:lastRow="0" w:firstColumn="0" w:lastColumn="0" w:noHBand="0" w:val="0000"/>
      </w:tblPr>
      <w:tblGrid>
        <w:gridCol w:w="1818"/>
        <w:gridCol w:w="2545"/>
        <w:gridCol w:w="2839"/>
        <w:gridCol w:w="2686"/>
        <w:gridCol w:w="16"/>
        <w:gridCol w:w="2554"/>
        <w:gridCol w:w="2546"/>
      </w:tblGrid>
      <w:tr>
        <w:trPr>
          <w:tblHeader w:val="true"/>
          <w:trHeight w:val="570" w:hRule="atLeast"/>
        </w:trPr>
        <w:tc>
          <w:tcPr>
            <w:tcW w:w="181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vAlign w:val="center"/>
          </w:tcPr>
          <w:p>
            <w:pPr>
              <w:pStyle w:val="TabelaglowkaNieuzywanefiz"/>
              <w:widowControl w:val="false"/>
              <w:suppressAutoHyphens w:val="true"/>
              <w:rPr>
                <w:rFonts w:ascii="Calibri" w:hAnsi="Calibri" w:asciiTheme="minorHAnsi" w:hAnsiTheme="minorHAnsi"/>
                <w:b w:val="false"/>
                <w:b w:val="false"/>
                <w:color w:val="FFFFFF" w:themeColor="background1"/>
                <w:sz w:val="22"/>
                <w:szCs w:val="22"/>
              </w:rPr>
            </w:pPr>
            <w:r>
              <w:rPr>
                <w:rStyle w:val="BoldCondensed"/>
                <w:rFonts w:ascii="Calibri" w:hAnsi="Calibri" w:asciiTheme="minorHAnsi" w:hAnsiTheme="minorHAnsi"/>
                <w:b/>
                <w:color w:val="FFFFFF" w:themeColor="background1"/>
                <w:sz w:val="22"/>
                <w:szCs w:val="22"/>
              </w:rPr>
              <w:t>Nr i temat lekcji</w:t>
            </w:r>
          </w:p>
        </w:tc>
        <w:tc>
          <w:tcPr>
            <w:tcW w:w="25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TabelaglowkaNieuzywanefiz"/>
              <w:widowControl w:val="false"/>
              <w:suppressAutoHyphens w:val="true"/>
              <w:rPr>
                <w:rStyle w:val="BoldCondensed"/>
                <w:rFonts w:ascii="Calibri" w:hAnsi="Calibri" w:asciiTheme="minorHAnsi" w:hAnsiTheme="minorHAnsi"/>
                <w:b/>
                <w:b/>
                <w:color w:val="FFFFFF" w:themeColor="background1"/>
                <w:sz w:val="22"/>
                <w:szCs w:val="22"/>
              </w:rPr>
            </w:pPr>
            <w:r>
              <w:rPr>
                <w:rStyle w:val="BoldCondensed"/>
                <w:rFonts w:ascii="Calibri" w:hAnsi="Calibri" w:asciiTheme="minorHAnsi" w:hAnsiTheme="minorHAnsi"/>
                <w:b/>
                <w:color w:val="FFFFFF" w:themeColor="background1"/>
                <w:sz w:val="22"/>
                <w:szCs w:val="22"/>
              </w:rPr>
              <w:t>Ocena dopuszczająca</w:t>
            </w:r>
          </w:p>
        </w:tc>
        <w:tc>
          <w:tcPr>
            <w:tcW w:w="28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vAlign w:val="center"/>
          </w:tcPr>
          <w:p>
            <w:pPr>
              <w:pStyle w:val="TabelaglowkaNieuzywanefiz"/>
              <w:widowControl w:val="false"/>
              <w:suppressAutoHyphens w:val="true"/>
              <w:rPr>
                <w:rFonts w:ascii="Calibri" w:hAnsi="Calibri" w:eastAsia="Calibri" w:asciiTheme="minorHAnsi" w:eastAsiaTheme="minorHAnsi" w:hAnsiTheme="minorHAnsi"/>
                <w:bCs w:val="false"/>
                <w:sz w:val="22"/>
                <w:szCs w:val="22"/>
                <w:lang w:eastAsia="en-US"/>
              </w:rPr>
            </w:pPr>
            <w:r>
              <w:rPr>
                <w:rFonts w:eastAsia="Calibri" w:eastAsiaTheme="minorHAnsi" w:ascii="Calibri" w:hAnsi="Calibri"/>
                <w:bCs w:val="false"/>
                <w:sz w:val="22"/>
                <w:szCs w:val="22"/>
                <w:lang w:eastAsia="en-US"/>
              </w:rPr>
            </w:r>
          </w:p>
          <w:p>
            <w:pPr>
              <w:pStyle w:val="TabelaglowkaNieuzywanefiz"/>
              <w:widowControl w:val="false"/>
              <w:suppressAutoHyphens w:val="true"/>
              <w:rPr>
                <w:rFonts w:ascii="Calibri" w:hAnsi="Calibri" w:eastAsia="Calibri" w:asciiTheme="minorHAnsi" w:eastAsiaTheme="minorHAnsi" w:hAnsiTheme="minorHAnsi"/>
                <w:bCs w:val="false"/>
                <w:sz w:val="22"/>
                <w:szCs w:val="22"/>
                <w:lang w:eastAsia="en-US"/>
              </w:rPr>
            </w:pPr>
            <w:r>
              <w:rPr>
                <w:rFonts w:eastAsia="Calibri" w:ascii="Calibri" w:hAnsi="Calibri" w:asciiTheme="minorHAnsi" w:eastAsiaTheme="minorHAnsi" w:hAnsiTheme="minorHAnsi"/>
                <w:bCs w:val="false"/>
                <w:sz w:val="22"/>
                <w:szCs w:val="22"/>
                <w:lang w:eastAsia="en-US"/>
              </w:rPr>
              <w:t>Ocena dostateczna</w:t>
            </w:r>
          </w:p>
          <w:p>
            <w:pPr>
              <w:pStyle w:val="TabelaglowkaNieuzywanefiz"/>
              <w:widowControl w:val="false"/>
              <w:suppressAutoHyphens w:val="true"/>
              <w:rPr>
                <w:rFonts w:ascii="Calibri" w:hAnsi="Calibri" w:asciiTheme="minorHAnsi" w:hAnsi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color w:val="FFFFFF" w:themeColor="background1"/>
                <w:sz w:val="22"/>
                <w:szCs w:val="22"/>
              </w:rPr>
            </w:r>
          </w:p>
        </w:tc>
        <w:tc>
          <w:tcPr>
            <w:tcW w:w="270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TabelaglowkaNieuzywanefiz"/>
              <w:widowControl w:val="false"/>
              <w:suppressAutoHyphens w:val="true"/>
              <w:rPr>
                <w:rFonts w:ascii="Calibri" w:hAnsi="Calibri" w:asciiTheme="minorHAnsi" w:hAnsiTheme="minorHAnsi"/>
                <w:color w:val="FFFFFF" w:themeColor="background1"/>
                <w:sz w:val="22"/>
                <w:szCs w:val="22"/>
              </w:rPr>
            </w:pPr>
            <w:r>
              <w:rPr>
                <w:rFonts w:eastAsia="Calibri" w:ascii="Calibri" w:hAnsi="Calibri" w:asciiTheme="minorHAnsi" w:eastAsiaTheme="minorHAnsi" w:hAnsiTheme="minorHAnsi"/>
                <w:bCs w:val="false"/>
                <w:sz w:val="22"/>
                <w:szCs w:val="22"/>
                <w:lang w:eastAsia="en-US"/>
              </w:rPr>
              <w:t>Ocena dobra</w:t>
            </w:r>
          </w:p>
        </w:tc>
        <w:tc>
          <w:tcPr>
            <w:tcW w:w="25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TabelaglowkaNieuzywanefiz"/>
              <w:widowControl w:val="false"/>
              <w:suppressAutoHyphens w:val="true"/>
              <w:rPr>
                <w:rFonts w:ascii="Calibri" w:hAnsi="Calibri" w:asciiTheme="minorHAnsi" w:hAnsiTheme="minorHAnsi"/>
                <w:color w:val="FFFFFF" w:themeColor="background1"/>
                <w:sz w:val="22"/>
                <w:szCs w:val="22"/>
              </w:rPr>
            </w:pPr>
            <w:r>
              <w:rPr>
                <w:rFonts w:eastAsia="Calibri" w:ascii="Calibri" w:hAnsi="Calibri" w:asciiTheme="minorHAnsi" w:eastAsiaTheme="minorHAnsi" w:hAnsiTheme="minorHAnsi"/>
                <w:bCs w:val="false"/>
                <w:sz w:val="22"/>
                <w:szCs w:val="22"/>
                <w:lang w:eastAsia="en-US"/>
              </w:rPr>
              <w:t>Ocena bardzo dobra</w:t>
            </w:r>
          </w:p>
        </w:tc>
        <w:tc>
          <w:tcPr>
            <w:tcW w:w="2546" w:type="dxa"/>
            <w:tcBorders>
              <w:top w:val="single" w:sz="4" w:space="0" w:color="FFFFFF"/>
              <w:left w:val="single" w:sz="4" w:space="0" w:color="FFFFFF"/>
              <w:right w:val="single" w:sz="6" w:space="0" w:color="000000"/>
            </w:tcBorders>
            <w:shd w:color="F39200" w:fill="auto" w:val="solid"/>
            <w:vAlign w:val="center"/>
          </w:tcPr>
          <w:p>
            <w:pPr>
              <w:pStyle w:val="TabelaglowkaNieuzywanefiz"/>
              <w:widowControl w:val="false"/>
              <w:suppressAutoHyphens w:val="true"/>
              <w:ind w:left="172" w:hanging="172"/>
              <w:rPr>
                <w:rFonts w:ascii="Calibri" w:hAnsi="Calibri" w:asciiTheme="minorHAnsi" w:hAnsiTheme="minorHAnsi"/>
                <w:b w:val="false"/>
                <w:b w:val="false"/>
                <w:color w:val="FFFFFF" w:themeColor="background1"/>
                <w:sz w:val="22"/>
                <w:szCs w:val="22"/>
              </w:rPr>
            </w:pPr>
            <w:r>
              <w:rPr>
                <w:rFonts w:eastAsia="Calibri" w:ascii="Calibri" w:hAnsi="Calibri" w:asciiTheme="minorHAnsi" w:eastAsiaTheme="minorHAnsi" w:hAnsiTheme="minorHAnsi"/>
                <w:bCs w:val="false"/>
                <w:sz w:val="22"/>
                <w:szCs w:val="22"/>
                <w:lang w:eastAsia="en-US"/>
              </w:rPr>
              <w:t>Ocena celująca</w:t>
            </w:r>
          </w:p>
        </w:tc>
      </w:tr>
      <w:tr>
        <w:trPr>
          <w:tblHeader w:val="true"/>
          <w:trHeight w:val="275" w:hRule="atLeast"/>
        </w:trPr>
        <w:tc>
          <w:tcPr>
            <w:tcW w:w="1818" w:type="dxa"/>
            <w:vMerge w:val="continue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vAlign w:val="center"/>
          </w:tcPr>
          <w:p>
            <w:pPr>
              <w:pStyle w:val="TabelaglowkaNieuzywanefiz"/>
              <w:widowControl w:val="false"/>
              <w:suppressAutoHyphens w:val="true"/>
              <w:rPr>
                <w:rStyle w:val="BoldCondensed"/>
                <w:rFonts w:ascii="Calibri" w:hAnsi="Calibri" w:asciiTheme="minorHAnsi" w:hAnsiTheme="minorHAnsi"/>
                <w:b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b/>
                <w:color w:val="FFFFFF" w:themeColor="background1"/>
                <w:sz w:val="22"/>
                <w:szCs w:val="22"/>
              </w:rPr>
            </w:r>
          </w:p>
        </w:tc>
        <w:tc>
          <w:tcPr>
            <w:tcW w:w="13186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F39200" w:fill="auto" w:val="solid"/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TabelaglowkaNieuzywanefiz"/>
              <w:widowControl w:val="false"/>
              <w:suppressAutoHyphens w:val="true"/>
              <w:ind w:left="172" w:hanging="172"/>
              <w:rPr>
                <w:rFonts w:ascii="Calibri" w:hAnsi="Calibri" w:asciiTheme="minorHAnsi" w:hAnsiTheme="minorHAnsi"/>
                <w:b w:val="false"/>
                <w:b w:val="false"/>
                <w:color w:val="FFFFFF" w:themeColor="background1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color w:val="FFFFFF" w:themeColor="background1"/>
                <w:sz w:val="22"/>
                <w:szCs w:val="22"/>
              </w:rPr>
              <w:t>Uczeń:</w:t>
            </w:r>
          </w:p>
        </w:tc>
      </w:tr>
      <w:tr>
        <w:trPr>
          <w:trHeight w:val="60" w:hRule="atLeast"/>
        </w:trPr>
        <w:tc>
          <w:tcPr>
            <w:tcW w:w="15004" w:type="dxa"/>
            <w:gridSpan w:val="7"/>
            <w:tcBorders>
              <w:top w:val="single" w:sz="6" w:space="0" w:color="273582"/>
              <w:left w:val="single" w:sz="6" w:space="0" w:color="273582"/>
              <w:bottom w:val="single" w:sz="6" w:space="0" w:color="000000"/>
              <w:right w:val="single" w:sz="6" w:space="0" w:color="000000"/>
            </w:tcBorders>
            <w:shd w:color="273582" w:fill="auto" w:val="solid"/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Tabelabelkatabele"/>
              <w:widowControl w:val="false"/>
              <w:rPr>
                <w:rFonts w:ascii="Calibri" w:hAnsi="Calibri" w:asciiTheme="minorHAnsi" w:hAnsiTheme="minorHAnsi"/>
                <w:color w:val="auto"/>
              </w:rPr>
            </w:pPr>
            <w:r>
              <w:rPr>
                <w:rFonts w:eastAsia="Calibri" w:ascii="Calibri" w:hAnsi="Calibri" w:asciiTheme="minorHAnsi" w:eastAsiaTheme="minorHAnsi" w:hAnsiTheme="minorHAnsi"/>
                <w:bCs w:val="false"/>
                <w:lang w:eastAsia="en-US"/>
              </w:rPr>
              <w:t>Dział I. Podstawy pierwszej pomocy</w:t>
            </w:r>
          </w:p>
        </w:tc>
      </w:tr>
      <w:tr>
        <w:trPr>
          <w:trHeight w:val="2337" w:hRule="atLeast"/>
        </w:trPr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Organizacja pierwszej pomocy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rozpoznaje potencjalne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źródła zagrożenia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kontakcie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poszkodowanym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oceniania własne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możliwości w kontekście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zakresu pierwszej pomocy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nazwy służb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ratunkowych i podaje ich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numery alarmowe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stosuje uniwersalne środki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ochrony osobistej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przedmioty,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jakie powinny znaleźć się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apteczce np. domowej,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samochodowej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pojęcie „stan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zagrożenia życia”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działania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wchodzące w zakres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zagrożeń w środowisku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domowym, ulicznym,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wodnym, w lasach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wskazuje sposób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zabezpieczenia się przed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zakażeniem w kontakcie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krwią i płynami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ustrojowymi osoby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poszkodowanej</w:t>
            </w:r>
          </w:p>
        </w:tc>
        <w:tc>
          <w:tcPr>
            <w:tcW w:w="270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wskazuje, kiedy wezwać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 i w jaki sposób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przekazać informacje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 zdarzeniu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w miejscu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zdarzenia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prezentuje sposoby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zadbania o własne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zdrowie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definicję,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cele i zadania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przeznaczenie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środków znajdujących się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na wyposażeniu apteczki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uzasadnia znaczenie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podejmowania działań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zakresu udzielania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przez świadka zdarzenia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oraz przedstawia jego rolę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zapewnienia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 własnego,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osoby poszkodowanej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otoczenia w sytuacjach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symulowanych podczas</w:t>
            </w:r>
          </w:p>
          <w:p>
            <w:pPr>
              <w:pStyle w:val="Normal"/>
              <w:widowControl w:val="false"/>
              <w:spacing w:lineRule="exact" w:line="230" w:before="0" w:after="0"/>
              <w:ind w:left="170" w:right="-20" w:hanging="141"/>
              <w:rPr>
                <w:rFonts w:eastAsia="AgendaPl RegularCondensed" w:cs="AgendaPl RegularCondensed"/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zajęć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64" w:before="25" w:after="0"/>
              <w:ind w:left="85" w:right="356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2.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Kontrola funkcji życiowych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rozpoznaje osobę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stanie zagrożenia życia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przykład aplikacji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na telefon komórkowy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wspierającej udzielanie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następstwa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zaburzeń czynności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układów stanowiących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„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triadę przeżycia”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zapewnienia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 własnego,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osoby poszkodowanej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otoczenia w sytuacjach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symulowanych podczas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rolę układów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oddechowego,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krążenia i nerwowego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dla prawidłowego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funkcjonowania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organizmu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rolę układu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nerwowego, układu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krążenia i układu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oddechowego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utrzymywaniu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podstawowych funkcji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życiowych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wskazuje przyczyny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okoliczności prowadzące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 szybkiego pogorszenia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stanu zdrowia</w:t>
            </w:r>
          </w:p>
          <w:p>
            <w:pPr>
              <w:pStyle w:val="Normal"/>
              <w:widowControl w:val="false"/>
              <w:spacing w:lineRule="exact" w:line="230" w:before="0" w:after="0"/>
              <w:ind w:left="170" w:right="-20" w:hanging="141"/>
              <w:rPr>
                <w:rFonts w:eastAsia="AgendaPl RegularCondensed" w:cs="AgendaPl RegularCondensed"/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lub do zagrożenia życia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64" w:before="25" w:after="0"/>
              <w:ind w:left="85" w:right="356" w:hanging="0"/>
              <w:rPr/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3.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Utrata przytomności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przytomność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poszkodowanego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czynność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oddychania u 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nieprzytomnej (trzema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zmysłami, przez okres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 10 sekund)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udrażnia drogi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oddechowe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tzw. rękoczynem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czoło</w:t>
            </w:r>
            <w:r>
              <w:rPr>
                <w:rFonts w:eastAsia="MS Gothic" w:cs="MS Gothic" w:ascii="MS Gothic" w:hAnsi="MS Gothic"/>
                <w:color w:val="000000"/>
                <w:sz w:val="20"/>
                <w:szCs w:val="20"/>
                <w:lang w:eastAsia="en-US"/>
              </w:rPr>
              <w:noBreakHyphen/>
            </w:r>
            <w:r>
              <w:rPr>
                <w:rFonts w:eastAsia="Calibri" w:eastAsiaTheme="minorHAnsi"/>
                <w:color w:val="000000"/>
                <w:sz w:val="20"/>
                <w:szCs w:val="20"/>
                <w:lang w:eastAsia="en-US"/>
              </w:rPr>
              <w:t>ż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uchwa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układa osobę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nieprzytomną w pozycji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bocznej ustalonej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zapewnia osobie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nieprzytomnej komfort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termiczny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systematycznie ponawia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ocenę oddychania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 osoby nieprzytomnej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zna zasady postępowania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osobą nieprzytomną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zapewnienia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 własnego,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osoby poszkodowanej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otoczenia w sytuacjach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symulowanych podczas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zajęć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objawy utraty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przytomności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mechanizm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niedrożności dróg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oddechowych u 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nieprzytomnej</w:t>
            </w:r>
          </w:p>
        </w:tc>
      </w:tr>
      <w:tr>
        <w:trPr>
          <w:trHeight w:val="4381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4.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Resuscytacja</w:t>
            </w:r>
          </w:p>
          <w:p>
            <w:pPr>
              <w:pStyle w:val="Normal"/>
              <w:widowControl w:val="false"/>
              <w:spacing w:lineRule="auto" w:line="264" w:before="25" w:after="0"/>
              <w:ind w:left="85" w:right="356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krążeniowo</w:t>
            </w:r>
            <w:r>
              <w:rPr>
                <w:rFonts w:eastAsia="MS Gothic" w:cs="MS Gothic" w:ascii="MS Gothic" w:hAnsi="MS Gothic"/>
                <w:b/>
                <w:sz w:val="20"/>
                <w:szCs w:val="20"/>
                <w:lang w:eastAsia="en-US"/>
              </w:rPr>
              <w:noBreakHyphen/>
              <w:noBreakHyphen/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oddechowa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przytomność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poszkodowanego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czynność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oddychania u 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nieprzytomnej (trzema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zmysłami, przez okres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 10 sekund)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podstawowe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czynności resuscytacji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krążeniowo-oddechowej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na fantomie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uciski klatki piersiowej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sztuczne oddychanie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samodzielnie i 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współpracy z drugą osobą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 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przykłady zdarzeń,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których dochodzi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 nagłego zatrzymania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krążenia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sytuacje,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których można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prowadzić resuscytację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wyłącznym uciskaniem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klatki piersiowej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z osobą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nieprzytomną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oznaki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zatrzymania krążenia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uniwersalny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algorytm w nagłym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zatrzymaniu krążenia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pojęcie „nagłe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zatrzymanie krążenia”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algorytm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podstawowych czynności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resuscytacyjnych u 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dorosłej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warunki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czynniki zapewniające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resuscytację wysokiej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jakości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zastosowanie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automatycznego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defibrylatora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zewnętrznego (AED)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oraz wskazuje na jego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znaczenie dla zwiększenia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skuteczności akcji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41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resuscytacyjnej</w:t>
            </w:r>
          </w:p>
        </w:tc>
      </w:tr>
      <w:tr>
        <w:trPr>
          <w:trHeight w:val="915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64" w:before="25" w:after="0"/>
              <w:ind w:left="85" w:right="356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5.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Zadławienia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podstawowe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czynności pierwszej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pomocy w zadławieniu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na fantomie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tzw. rękoczyny ratunkowe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przypadku zadławienia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działań zapobiegających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zadławieniu u małych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dzieci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schemat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przypadku zadławienia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pojęcie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mechanizm zadławienia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algorytm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podstawowych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czynności ratowniczych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zadławieniu,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zależności od wieku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stanu poszkodowanego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6.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Rany, krwawienia </w:t>
            </w:r>
          </w:p>
          <w:p>
            <w:pPr>
              <w:pStyle w:val="Normal"/>
              <w:widowControl w:val="false"/>
              <w:spacing w:lineRule="auto" w:line="264" w:before="25" w:after="0"/>
              <w:ind w:right="356" w:hanging="0"/>
              <w:rPr/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krwotoki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opatrunek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osłaniający na ranę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obrębie kończyny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opatrunek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uciskowy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zapobiegania urazom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sporcie, w domu, w pracy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zapewnienia 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własnego, osoby poszkodowanej i otoczenia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zasady pierwszej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pomocy w urazach kończyn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metody udzielania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 w urazach kończyn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objawy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najczęstszymi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obrażeniami narządu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/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ruchu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7.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Uszkodzenia kości i stawów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stosuje zasady unieruchomienia złamań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kości długich i stawów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(zasada Potta)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unieruchamia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kończynę po urazie w zastanej pozycji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wykorzystuje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dostępny sprzęt do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unieruchomienia złamanej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kończyny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 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sytuacje,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których może dojść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 urazów kręgosłupa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zapobiegania urazom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sporcie, w domu,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pracy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unieruchomienia złamań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kości długich i stawów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(zasada Potta)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metody udzielania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 w urazach kończyn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objawy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najczęstszymi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obrażeniami narządu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ruchu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 pierwszej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pomocy w urazach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kończyn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przenoszenia poszkodowanych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urazem kręgosłupa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cel doraźnego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unieruchomienia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kończyny (ograniczenie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ruchu, zmniejszenie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bólu, ograniczenie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ryzyka pogłębiania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urazu, umożliwienie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bezpiecznego transportu)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powikłań wynikających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urazu kręgosłupa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8.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Oparzenia termiczne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chemiczne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demonstruje metodę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chłodzenia w przypadku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oparzenia kończyny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zapobiegania oparzeniom,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ze szczególnym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uwzględnieniem środowiska domowego i małych dzieci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na czym polega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udzielanie pierwszej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pomocy w oparzeniach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pojęcie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„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oparzenie”, wymienia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przyczyny i rodzaje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oparzeń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przypadku oparzenia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termicznego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9.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Podtopienia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sytuacje, w jakich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dochodzi do tonięcia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zagrożenia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wodą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jak zapobiegać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tonięciu i wypadkom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akwenach wodnych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przykłady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zagrożeń w środowisku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wodnym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uzasadnia, na czym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polega udzielenie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 osobie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podtopionej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różnicę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między podtopieniem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 utonięciem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odtwarza etapy pomocy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podtopieniach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podejmuje w sytuacji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symulowanej czynności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pierwszej pomocy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 wydobyciu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poszkodowanego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wody (pozycja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bezpieczna, zapobieganie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zachłyśnięciu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wychłodzeniu)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10.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Zatrucia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sytuacji symulowanej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podejmuje prawidłowe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działania wobec 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podejrzanej o zatrucie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na czym polega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udzielenie pierwszej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pomocy w zatruciach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podaje przykłady zagrożeń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środowisku domowym, ulicznym, w przestrzeniach podziemnych, w lasach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pomieszczeniach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skażonych tlenkiem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węgla lub innymi gazami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toksycznymi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zatrucia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tlenkiem węgla (czadem),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lekami lub środkami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odurzającymi, wymienia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ich objawy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algorytm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podstawowych czynności ratowniczych w zatruciach, w zależności od środka trującego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11.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Pogryzienia, użądlenia, wstrząs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najważniejsze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przyczyny wstrząsu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stosuje zasady postępowania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przeciwwstrząsowego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(ułożenie, ochrona przed wychłodzeniem, wsparcie psychiczne poszkodowanego)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podaje przykłady zagrożeń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środowisku domowym, ulicznym, w lasach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na czym polega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udzielenie pierwszej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pomocy we wstrząsie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zagrożenia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wystąpieniem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wstrząsu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algorytm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podstawowych czynności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ratowniczych w sytuacji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wstrząsu anafilaktycznego</w:t>
            </w:r>
          </w:p>
        </w:tc>
      </w:tr>
      <w:tr>
        <w:trPr>
          <w:trHeight w:val="283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12.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Nagłe zachorowania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udziela pomocy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sytuacji ataku choroby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(zawał serca, astma, udar,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cukrzyca, epilepsja)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prawidłowo wzywa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pomoc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metody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zapewnienia bezpieczeństwa własnego, osoby poszkodowanej i otoczenia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sytuacjach symulowanych podczas zajęć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przykłady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zagrożeń w środowisku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domowym, ulicznym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objawy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charakterystyczne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dla wystąpienia ataku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Bold" w:eastAsiaTheme="minorHAnsi"/>
                <w:b/>
                <w:b/>
                <w:bCs/>
                <w:color w:val="0033FF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konkretnej choroby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6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w atakach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chorób (zawał serca,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astma, cukrzyca, epilepsja,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udar)</w:t>
            </w:r>
          </w:p>
        </w:tc>
      </w:tr>
      <w:tr>
        <w:trPr>
          <w:trHeight w:val="60" w:hRule="atLeast"/>
        </w:trPr>
        <w:tc>
          <w:tcPr>
            <w:tcW w:w="15004" w:type="dxa"/>
            <w:gridSpan w:val="7"/>
            <w:tcBorders>
              <w:top w:val="single" w:sz="6" w:space="0" w:color="273582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273582" w:fill="auto" w:val="solid"/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70" w:hanging="170"/>
              <w:jc w:val="center"/>
              <w:rPr>
                <w:sz w:val="20"/>
                <w:szCs w:val="20"/>
              </w:rPr>
            </w:pPr>
            <w:r>
              <w:rPr>
                <w:rFonts w:eastAsia="Calibri" w:cs="AgendaPl-BoldCondensed" w:eastAsiaTheme="minorHAnsi"/>
                <w:b/>
                <w:bCs/>
                <w:color w:val="FFFFFF"/>
                <w:sz w:val="20"/>
                <w:szCs w:val="20"/>
                <w:lang w:eastAsia="en-US"/>
              </w:rPr>
              <w:t>Dział II. Edukacja zdrowotna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13.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Zdrowie jako wartość dla człowieka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zasób dla społeczeństwa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własne zachowania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ze zdrowiem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ustala indywidualny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plan działania na rzecz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własnego zdrowia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określa, gdzie w okolicy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jego miejsca zamieszkania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działają instytucje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organizacje świadczące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leczenie, pomoc i wsparcie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przypadkach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problemów zdrowia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psychicznego,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szczególności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świadczące usługi dla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młodzieży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intensywność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wysiłku fizycznego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(np. na podstawie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pomiaru częstości akcji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serca w czasie i po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wysiłku)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potrafi analizować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wartość odżywczą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produktów żywnościowych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np. na podstawie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informacji o ich składzie umieszczanych przez producenta na opakowaniu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rzetelne źródła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informacji o zdrowiu,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chorobach, świadczeniach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usługach zdrowotnych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konstruktywne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niekonstruktywne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sposoby radzenia sobie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emocjami, w tym negatywnymi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dobiera i demonstruje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umiejętności komunikacji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interpersonalnej istotne dla zdrowia i 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(odmowa, zachowania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asertywne, negocjowanie)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zachowania,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które sprzyjają zdrowiu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(prozdrowotne) oraz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zagrażają zdrowiu oraz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wskazuje te, które szczególnie często występują wśród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nastolatków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zagadnienia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właściwą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racjonalną aktywnością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fizyczną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uzasadnia znaczenie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aktywności fizycznej dla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zdrowia i rozwoju, w tym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ochrony przed chorobami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przewlekłymi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zależności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między zdrowiem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fizycznym, psychicznym,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emocjonalnym a społecznym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wpływ stresu 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zdrowie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uzasadnia znaczenie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właściwego odżywiania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dla zdrowia i rozwoju,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tym ochrony przed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chorobami przewlekłymi</w:t>
            </w:r>
          </w:p>
        </w:tc>
        <w:tc>
          <w:tcPr>
            <w:tcW w:w="2570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podstawowe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sygnały i objawy problemów ze zdrowiem psychicznym (stres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fizyczny i emocjonalny,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zaburzenia odżywiania,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depresja kliniczna)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odróżnia czynniki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środowiskowe i społeczne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(korzystne i szkodliwe), 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które człowiek może mieć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wpływ od takich, na które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nie ma wpływu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związki między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aktywnością fizyczną,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zwyczajami żywieniowymi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dobrostanem emocjonalnym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zagadnienia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właściwym,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racjonalnym odżywianiem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analizuje tendencje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brakiem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aktywności fizycznej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wśród dzieci, młodzieży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dorosłych w Polsce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krótkoterminowe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długoterminowe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konsekwencje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zachowań sprzyjających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(prozdrowotnych)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zagrażających zdrowiu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definiuje pojęcia „bulimia”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„anoreksja” oraz wyjaśnia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następstwa tych chorób</w:t>
            </w:r>
          </w:p>
        </w:tc>
      </w:tr>
      <w:tr>
        <w:trPr>
          <w:trHeight w:val="837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tcMar>
              <w:bottom w:w="397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426" w:leader="none"/>
              </w:tabs>
              <w:spacing w:lineRule="auto" w:line="264" w:before="25" w:after="0"/>
              <w:ind w:left="85" w:right="170" w:hanging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14.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Styl życia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426" w:leader="none"/>
              </w:tabs>
              <w:spacing w:lineRule="auto" w:line="264" w:before="25" w:after="0"/>
              <w:ind w:left="85" w:right="170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a zdrowie człowieka</w:t>
            </w:r>
          </w:p>
          <w:p>
            <w:pPr>
              <w:pStyle w:val="Normal"/>
              <w:widowControl w:val="false"/>
              <w:spacing w:lineRule="auto" w:line="264" w:before="25" w:after="0"/>
              <w:ind w:left="85" w:right="170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wykonuje pomiar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ciśnienia tętniczego krwi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jak można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unikać picia alkoholu,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palenia tytoniu, zażywania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dopalaczy i narkotyków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ustala, co sam może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zrobić, aby tworzyć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warunki środowiskowe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społeczne, które są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korzystne dla zdrowia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(ochrona środowiska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przyrodniczego, wsparcie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społeczne, komunikacja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interpersonalna,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współpraca osób, instytucji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organizacji na rzecz zdrowia itp.)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wpływ substancji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psychoaktywnych 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sprawność kierowcy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bottom w:w="3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ocenia korzyści kontroli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czynników ryzyka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miażdżycy w populacji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definiuje pojęcie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wskaźnika masy ciała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(BMI) i potrafi określić do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czego służy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analizuje objawy rożnych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rodzajów uzależnień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behawioralnych,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tym uzależnienia od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komputera, internetu,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hazardu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wiarygodne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źródła informacji na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temat tendencji i skutków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dotyczących spożycia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alkoholu, palenia tytoniu,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zażywania dopalaczy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i narkotyków przez młodzież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Polsce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odpowiedniego stosowania leków (produktów leczniczych)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suplementów diety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czynniki ryzyka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chorób cywilizacyjnych,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takich jak: nadciśnienie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tętnicze, cukrzyca, zaburzenia gospodarki lipidowej, otyłość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definiuje pojęcie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zespołu metabolicznego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(nadciśnienie tętnicze,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otyłość, cukrzyca,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zaburzenia lipidowe)</w:t>
            </w: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jakie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przekonania dotyczące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spożycia alkoholu,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palenia tytoniu, zażywania dopalaczy i narkotyków przez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młodzież mogą mieć wpływ na podejmowanie wymienionych zachowań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tcMar>
              <w:bottom w:w="397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tendencje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związane z otyłością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wśród dzieci, młodzieży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dorosłych w Polsce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przepisy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prawa dotyczące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używania substancji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psychoaktywnych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prowadzenia pojazdów</w:t>
            </w:r>
          </w:p>
        </w:tc>
      </w:tr>
      <w:tr>
        <w:trPr>
          <w:trHeight w:val="60" w:hRule="atLeast"/>
        </w:trPr>
        <w:tc>
          <w:tcPr>
            <w:tcW w:w="15004" w:type="dxa"/>
            <w:gridSpan w:val="7"/>
            <w:tcBorders>
              <w:top w:val="single" w:sz="6" w:space="0" w:color="273582"/>
              <w:left w:val="single" w:sz="6" w:space="0" w:color="000000"/>
              <w:bottom w:val="single" w:sz="6" w:space="0" w:color="273582"/>
              <w:right w:val="single" w:sz="6" w:space="0" w:color="000000"/>
            </w:tcBorders>
            <w:shd w:color="273582" w:fill="auto" w:val="solid"/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70" w:hanging="170"/>
              <w:jc w:val="center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color w:val="FFFFFF"/>
                <w:sz w:val="20"/>
                <w:szCs w:val="20"/>
                <w:lang w:eastAsia="en-US"/>
              </w:rPr>
              <w:t>Dział III. Sytuacje nadzwyczajnych zagrożeń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6" w:space="0" w:color="273582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9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15.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Międzynarodowe prawo</w:t>
            </w:r>
          </w:p>
          <w:p>
            <w:pPr>
              <w:pStyle w:val="Normal"/>
              <w:widowControl w:val="false"/>
              <w:spacing w:lineRule="auto" w:line="264" w:before="25" w:after="0"/>
              <w:ind w:right="356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humanitarne</w:t>
            </w:r>
          </w:p>
        </w:tc>
        <w:tc>
          <w:tcPr>
            <w:tcW w:w="2545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identyfikuje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obiekty opatrzone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międzynarodowymi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znakami ochrony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zabytków</w:t>
            </w:r>
          </w:p>
        </w:tc>
        <w:tc>
          <w:tcPr>
            <w:tcW w:w="2839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9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podstawowe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akcje podejmowane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regionie przez Polski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Czerwony Krzyż</w:t>
            </w:r>
          </w:p>
        </w:tc>
        <w:tc>
          <w:tcPr>
            <w:tcW w:w="2686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i określa zakres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działania wybranych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stowarzyszeń i organizacji,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np. Polskiego Czerwonego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Krzyża</w:t>
            </w:r>
          </w:p>
        </w:tc>
        <w:tc>
          <w:tcPr>
            <w:tcW w:w="2570" w:type="dxa"/>
            <w:gridSpan w:val="2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podstawowe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międzynarodowego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prawa humanitarnego</w:t>
            </w:r>
          </w:p>
        </w:tc>
        <w:tc>
          <w:tcPr>
            <w:tcW w:w="2546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9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główne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dokumenty ONZ regulujące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funkcjonowanie obrony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cywilnej w świecie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64" w:before="25" w:after="0"/>
              <w:ind w:left="85" w:right="356" w:hanging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16.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Ochrona ludności </w:t>
            </w:r>
          </w:p>
          <w:p>
            <w:pPr>
              <w:pStyle w:val="Normal"/>
              <w:widowControl w:val="false"/>
              <w:spacing w:lineRule="auto" w:line="264" w:before="25" w:after="0"/>
              <w:ind w:left="85" w:right="356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zwierząt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rozpoznaje znaki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substancji toksycznych 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pojazdach i budowlach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wyjaśnia, na czym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polegają zabiegi specjalne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sanitarne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materiały, które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można wykorzystywać jako zastępcze środki ochrony dróg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oddechowych i skory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w przypadku awarii instalacji chemicznej,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środka transportu lub rozszczelnienia zbiorników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substancjami toksycznymi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wpływ środków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promieniotwórczych 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ludzi, zwierzęta, żywność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wodę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wymienia rodzaje znaków substancji toksycznych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miejsca ich eksponowania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znaczenie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pojęć: „odkażanie”,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„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dezaktywacja”,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„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dezynfekcja”,</w:t>
            </w:r>
          </w:p>
          <w:p>
            <w:pPr>
              <w:pStyle w:val="Normal"/>
              <w:widowControl w:val="false"/>
              <w:spacing w:lineRule="auto" w:line="249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„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deratyzacja”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64" w:before="25" w:after="0"/>
              <w:ind w:left="85" w:right="170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17.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Służby ratownicze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rolę i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funkcjonowania Państwowej Straży Pożarnej oraz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Państwowego Ratownictwa Medycznego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działania podejmowane przez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Państwową Straż Pożarną oraz Państwowe Ratownictwo Medyczne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charakteryzuje ochotnicze służby i podmioty ratownicze,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takie jak: Ochotnicza Straż Pożarna i Pogotowie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Ratunkowe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charakteryzuje Wodne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Ochotnicze Pogotowie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Ratunkowe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charakteryzuje Górskie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Ochotnicze Pogotowie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Ratunkowe, Tatrzańskie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Ochotnicze Pogotowie</w:t>
            </w:r>
          </w:p>
          <w:p>
            <w:pPr>
              <w:pStyle w:val="Normal"/>
              <w:widowControl w:val="false"/>
              <w:spacing w:lineRule="exact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Ratunkowe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18.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Ostrzeganie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alarmowanie</w:t>
            </w:r>
          </w:p>
          <w:p>
            <w:pPr>
              <w:pStyle w:val="Normal"/>
              <w:widowControl w:val="false"/>
              <w:spacing w:lineRule="auto" w:line="264" w:before="25" w:after="0"/>
              <w:ind w:right="356" w:hanging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ludności </w:t>
            </w:r>
          </w:p>
          <w:p>
            <w:pPr>
              <w:pStyle w:val="Normal"/>
              <w:widowControl w:val="false"/>
              <w:spacing w:lineRule="auto" w:line="264" w:before="25" w:after="0"/>
              <w:ind w:right="356" w:hanging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o zagrożeniach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rozpoznaje rodzaje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alarmów i sygnałów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alarmowych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wskazuje drogi ewakuacji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szkole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potrafi zainstalować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telefonie komórkowym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dostępny w miejscu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swojego zamieszkania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system ostrzegania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 lokalnych zagrożeniach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charakteryzuje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zachowania się ludności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 ogłoszeniu alarmu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zaopatrzenia ludności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ewakuowanej w wodę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żywność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wyznacza strefę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sytuacji zagrożenia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zasady ewakuacji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ludności i środków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materiałowych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rozróżnia zagrożenia czasu</w:t>
            </w:r>
          </w:p>
          <w:p>
            <w:pPr>
              <w:pStyle w:val="Normal"/>
              <w:widowControl w:val="false"/>
              <w:spacing w:lineRule="auto" w:line="276" w:before="0" w:after="200"/>
              <w:ind w:left="156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pokoju i czasu wojny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definiuje i rozpoznaje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rodzaje alarmów oraz</w:t>
            </w:r>
          </w:p>
          <w:p>
            <w:pPr>
              <w:pStyle w:val="Normal"/>
              <w:widowControl w:val="false"/>
              <w:spacing w:lineRule="auto" w:line="276" w:before="0" w:after="200"/>
              <w:ind w:left="156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sygnałów alarmowych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uzasadnia potrzebę</w:t>
            </w:r>
          </w:p>
          <w:p>
            <w:pPr>
              <w:pStyle w:val="Normal"/>
              <w:widowControl w:val="false"/>
              <w:spacing w:lineRule="exact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przeciwdziałania panice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19.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Zagrożenia naturalne,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 xml:space="preserve">budowlane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komunikacyjne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rozpoznaje zagrożenia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ich źródła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obowiązki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pieszego i kierowcy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zakresie zachowania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się na drodze w momencie przejazdu karetki pogotowia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lub innego pojazdu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włączonymi sygnałami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uprzywilejowania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podczas pożaru,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przypadku wypadków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komunikacyjnych,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czasie zagrożenia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powodzią, w przypadku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katastrofy budowlanej,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wycieku gazu z instalacji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budynku mieszkalnym,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odnalezienia niewypału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lub niewybuchu, zagrożenia lawiną, intensywnej śnieżycy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potrafi dobrać odpowiedni rodzaj środka gaśniczego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zależności od rodzaju pożaru (np. płonąca patelnia, płonący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komputer)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przedstawia typowe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zagrożenia zdrowia i życia podczas powodzi, pożaru lub innych klęsk żywiołowych</w:t>
            </w: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charakteryzuje zagrożenia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 xml:space="preserve">pożarowe w domu, w szkole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w najbliższej okolicy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rodzaje i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użycia podręcznego sprzętu gaśniczego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17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zasady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w przypadku awarii instalacji chemicznej,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środka transportu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lub rozszczelnienia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zbiorników z substancjami</w:t>
            </w:r>
          </w:p>
          <w:p>
            <w:pPr>
              <w:pStyle w:val="Normal"/>
              <w:widowControl w:val="false"/>
              <w:spacing w:lineRule="exact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toksycznymi</w:t>
            </w:r>
          </w:p>
        </w:tc>
      </w:tr>
      <w:tr>
        <w:trPr>
          <w:trHeight w:val="1245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tcMar>
              <w:bottom w:w="13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20.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Zagrożenia związane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z działalnością człowieka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zasady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zachowania się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przypadku zdarzeń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terrorystycznych (np. w razie wtargnięcia uzbrojonej osoby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 szkoły, centrum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handlowego)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znaczenie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cyberprzemocy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wskazuje niewłaściwe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zachowania dotyczące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cyberprzemocy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rozpoznaje znaki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substancji toksycznych na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pojazdach i budowlach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bottom w:w="13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procedury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postępowania w przypadku wystąpienia cyberprzemocy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opisuje właściwą reakcję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sytuacji wystąpienia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cyberprzemocy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wpływ środków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promieniotwórczych na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ludzi, zwierzęta, żywność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wodę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sposoby zabezpieczenia żywności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wody przed skażeniami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materiały, które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można wykorzystywać jako zastępcze środki ochrony dróg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oddechowych i skóry</w:t>
            </w: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przykłady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skutków użycia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środków biologicznych,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56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chemicznych i wybuchowych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tcMar>
              <w:bottom w:w="136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pojęcie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terroryzmu (w zakresie zagrożenia terrorystycznego)</w:t>
            </w:r>
          </w:p>
        </w:tc>
      </w:tr>
      <w:tr>
        <w:trPr>
          <w:trHeight w:val="60" w:hRule="atLeast"/>
        </w:trPr>
        <w:tc>
          <w:tcPr>
            <w:tcW w:w="15004" w:type="dxa"/>
            <w:gridSpan w:val="7"/>
            <w:tcBorders>
              <w:top w:val="single" w:sz="4" w:space="0" w:color="000000"/>
              <w:left w:val="single" w:sz="6" w:space="0" w:color="000000"/>
              <w:bottom w:val="single" w:sz="6" w:space="0" w:color="273582"/>
              <w:right w:val="single" w:sz="6" w:space="0" w:color="000000"/>
            </w:tcBorders>
            <w:shd w:color="273582" w:fill="auto" w:val="solid"/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70" w:hanging="170"/>
              <w:jc w:val="center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color w:val="FFFFFF"/>
                <w:sz w:val="20"/>
                <w:szCs w:val="20"/>
                <w:lang w:eastAsia="en-US"/>
              </w:rPr>
              <w:t>Dział IV. Bezpieczeństwo państwa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6" w:space="0" w:color="273582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21.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System 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narodowego Rzeczypospolitej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Polskiej</w:t>
            </w:r>
          </w:p>
        </w:tc>
        <w:tc>
          <w:tcPr>
            <w:tcW w:w="2545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i opisuje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elementy składowe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systemu bezpieczeństwa,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jego poszczególne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instytucje, charakter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związków między nimi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i uzasadnia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geopolityczne, militarne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gospodarcze aspekty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 państwa</w:t>
            </w:r>
          </w:p>
        </w:tc>
        <w:tc>
          <w:tcPr>
            <w:tcW w:w="2839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zadania parlamentu, prezydenta,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rady ministrów w dziedzinie obronności oraz elementy systemu obronnego państwa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wybrane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stowarzyszenia i organizacje, takie jak Liga Obrony Kraju, Związek Strzelecki „Strzelec”,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określa ich zakres działania</w:t>
            </w:r>
          </w:p>
        </w:tc>
        <w:tc>
          <w:tcPr>
            <w:tcW w:w="2702" w:type="dxa"/>
            <w:gridSpan w:val="2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identyfikuje wyzwania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dla 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indywidualnego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zbiorowego,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kategoryzuje je,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przypisuje właściwe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znaczenie w kontekście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 lokalnego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oraz całego państwa</w:t>
            </w:r>
          </w:p>
        </w:tc>
        <w:tc>
          <w:tcPr>
            <w:tcW w:w="2554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wymienia nazwy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formacji służb mundurowych (w tym obrony terytorialnej)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zapewniających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bezpieczeństwo państwa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oraz wyjaśnia zadania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tych służb</w:t>
            </w:r>
          </w:p>
        </w:tc>
        <w:tc>
          <w:tcPr>
            <w:tcW w:w="2546" w:type="dxa"/>
            <w:tcBorders>
              <w:top w:val="single" w:sz="6" w:space="0" w:color="273582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potrafi identyfikować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wyzwania dla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indywidualnego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zbiorowego,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kategoryzować je,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przypisywać właściwe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znaczenie w kontekście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bezpieczeństwa lokalnego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right="737" w:hanging="170"/>
              <w:rPr/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całego państwa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22.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Powinności obronne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i kryzysowe władz, instytucji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oraz obywateli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uzasadnia rolę świadczeń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obywateli na rzecz obronności oraz zadań i kompetencji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władz państwowych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samorządowych w tym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zakresie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orientuje się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 podstawowych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zasadach zarządzania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kryzysowego i rozumie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0" w:hanging="17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jego istotę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podaje przykłady zarządzeń, jakie mogą wydać władze w związku z kryzysem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wyjaśnia znaczenie pojęć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„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siatka bezpieczeństwa”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i „infrastruktura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krytyczna”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dokonuje analizy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wybranych zjawisk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społecznych (stany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nadzwyczajne)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z wykorzystaniem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właściwej terminologii</w:t>
            </w:r>
          </w:p>
        </w:tc>
      </w:tr>
      <w:tr>
        <w:trPr>
          <w:trHeight w:val="60" w:hRule="atLeast"/>
        </w:trPr>
        <w:tc>
          <w:tcPr>
            <w:tcW w:w="18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b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gendaPl-BoldCondensed" w:eastAsiaTheme="minorHAnsi"/>
                <w:b/>
                <w:bCs/>
                <w:sz w:val="20"/>
                <w:szCs w:val="20"/>
                <w:lang w:eastAsia="en-US"/>
              </w:rPr>
              <w:t xml:space="preserve">23. </w:t>
            </w: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Siły Zbrojne Rzeczpospolitej</w:t>
            </w:r>
          </w:p>
          <w:p>
            <w:pPr>
              <w:pStyle w:val="Normal"/>
              <w:widowControl w:val="false"/>
              <w:spacing w:before="0" w:after="160"/>
              <w:rPr>
                <w:rFonts w:eastAsia="Calibri" w:cs="AgendaPl-BoldCondensed" w:eastAsiaTheme="minorHAnsi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b/>
                <w:sz w:val="20"/>
                <w:szCs w:val="20"/>
                <w:lang w:eastAsia="en-US"/>
              </w:rPr>
              <w:t>Polskiej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zadania Sił Zbrojnych Rzeczypospolitej Polskiej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struktury Sił Zbrojnych Rzeczypospolitej Polskiej</w:t>
            </w:r>
          </w:p>
        </w:tc>
        <w:tc>
          <w:tcPr>
            <w:tcW w:w="2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podstawowe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uzbrojenie Sił Zbrojnych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8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Rzeczypospolitej Polskiej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podstawowe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wyposażenie Sił Zbrojnych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9" w:hanging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Rzeczypospolitej Polskiej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bottom w:w="34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Bold" w:eastAsiaTheme="minorHAnsi"/>
                <w:b/>
                <w:bCs/>
                <w:color w:val="0033FF"/>
                <w:sz w:val="20"/>
                <w:szCs w:val="20"/>
                <w:lang w:eastAsia="en-US"/>
              </w:rPr>
              <w:t xml:space="preserve">• </w:t>
            </w: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omawia znaczenie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Sił Zbrojnych</w:t>
            </w:r>
          </w:p>
          <w:p>
            <w:pPr>
              <w:pStyle w:val="Normal"/>
              <w:widowControl w:val="false"/>
              <w:spacing w:lineRule="exact" w:line="240" w:before="0" w:after="0"/>
              <w:rPr>
                <w:sz w:val="20"/>
                <w:szCs w:val="20"/>
              </w:rPr>
            </w:pPr>
            <w:r>
              <w:rPr>
                <w:rFonts w:eastAsia="Calibri" w:cs="AgendaPl-RegularCondensed" w:eastAsiaTheme="minorHAnsi"/>
                <w:color w:val="000000"/>
                <w:sz w:val="20"/>
                <w:szCs w:val="20"/>
                <w:lang w:eastAsia="en-US"/>
              </w:rPr>
              <w:t>Rzeczypospolitej Polskiej</w:t>
            </w:r>
          </w:p>
        </w:tc>
      </w:tr>
    </w:tbl>
    <w:p>
      <w:pPr>
        <w:pStyle w:val="Normal"/>
        <w:rPr>
          <w:rFonts w:cs="Arial"/>
          <w:sz w:val="28"/>
          <w:szCs w:val="28"/>
        </w:rPr>
      </w:pPr>
      <w:r>
        <w:rPr>
          <w:sz w:val="28"/>
          <w:szCs w:val="28"/>
        </w:rPr>
        <w:t>Kryteria oceniania z edb  są zgodne ze statutem szkoły. Ocena końcowa jest oceną wystawianą przez nauczyciela</w:t>
      </w:r>
    </w:p>
    <w:p>
      <w:pPr>
        <w:pStyle w:val="Normal"/>
        <w:spacing w:before="0" w:after="160"/>
        <w:rPr>
          <w:rFonts w:cs="Arial"/>
          <w:sz w:val="20"/>
          <w:szCs w:val="20"/>
        </w:rPr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417" w:right="820" w:header="0" w:top="1560" w:footer="0" w:bottom="184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gendaPl-Bold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nionPro-Regular">
    <w:charset w:val="ee"/>
    <w:family w:val="roman"/>
    <w:pitch w:val="variable"/>
  </w:font>
  <w:font w:name="Dutch801HdEU-Normal">
    <w:charset w:val="ee"/>
    <w:family w:val="roman"/>
    <w:pitch w:val="variable"/>
  </w:font>
  <w:font w:name="AgendaPl-BoldCondensed">
    <w:charset w:val="ee"/>
    <w:family w:val="roman"/>
    <w:pitch w:val="variable"/>
  </w:font>
  <w:font w:name="AgendaPl-RegularCondensed">
    <w:charset w:val="ee"/>
    <w:family w:val="roman"/>
    <w:pitch w:val="variable"/>
  </w:font>
  <w:font w:name="MS 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9072"/>
        <w:tab w:val="center" w:pos="4536" w:leader="none"/>
        <w:tab w:val="right" w:pos="9639" w:leader="none"/>
      </w:tabs>
      <w:spacing w:before="120" w:after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5" wp14:anchorId="5CBE7F10">
              <wp:simplePos x="0" y="0"/>
              <wp:positionH relativeFrom="column">
                <wp:posOffset>-330835</wp:posOffset>
              </wp:positionH>
              <wp:positionV relativeFrom="paragraph">
                <wp:posOffset>1270</wp:posOffset>
              </wp:positionV>
              <wp:extent cx="9545955" cy="1270"/>
              <wp:effectExtent l="0" t="0" r="17780" b="19050"/>
              <wp:wrapNone/>
              <wp:docPr id="1" name="Łącznik prostoliniowy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5454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6.05pt,0.1pt" to="725.5pt,0.1pt" ID="Łącznik prostoliniowy 3" stroked="t" style="position:absolute" wp14:anchorId="5CBE7F10">
              <v:stroke color="#f09120" weight="19080" joinstyle="round" endcap="flat"/>
              <v:fill o:detectmouseclick="t" on="false"/>
            </v:line>
          </w:pict>
        </mc:Fallback>
      </mc:AlternateContent>
    </w:r>
  </w:p>
  <w:p>
    <w:pPr>
      <w:pStyle w:val="Stopka"/>
      <w:tabs>
        <w:tab w:val="clear" w:pos="9072"/>
        <w:tab w:val="center" w:pos="4536" w:leader="none"/>
        <w:tab w:val="right" w:pos="9639" w:leader="none"/>
      </w:tabs>
      <w:ind w:right="1" w:hanging="0"/>
      <w:rPr/>
    </w:pPr>
    <w:r>
      <w:rPr/>
      <w:tab/>
      <w:tab/>
      <w:tab/>
      <w:tab/>
      <w:t xml:space="preserve"> </w:t>
      <w:tab/>
      <w:t xml:space="preserve"> </w:t>
    </w:r>
  </w:p>
  <w:p>
    <w:pPr>
      <w:pStyle w:val="Stopka"/>
      <w:ind w:left="-1417" w:hanging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Stopka"/>
      <w:tabs>
        <w:tab w:val="clear" w:pos="4536"/>
        <w:tab w:val="clear" w:pos="9072"/>
      </w:tabs>
      <w:ind w:left="-1417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tabs>
        <w:tab w:val="clear" w:pos="9072"/>
        <w:tab w:val="center" w:pos="4536" w:leader="none"/>
      </w:tabs>
      <w:ind w:left="142" w:right="-283" w:hanging="0"/>
      <w:rPr/>
    </w:pPr>
    <w:r>
      <w:rPr/>
    </w:r>
  </w:p>
  <w:p>
    <w:pPr>
      <w:pStyle w:val="Gwka"/>
      <w:tabs>
        <w:tab w:val="clear" w:pos="9072"/>
        <w:tab w:val="center" w:pos="4536" w:leader="none"/>
      </w:tabs>
      <w:ind w:left="142" w:right="-283" w:hanging="0"/>
      <w:rPr/>
    </w:pPr>
    <w:r>
      <w:rPr/>
    </w:r>
  </w:p>
  <w:p>
    <w:pPr>
      <w:pStyle w:val="Gwka"/>
      <w:tabs>
        <w:tab w:val="clear" w:pos="9072"/>
        <w:tab w:val="center" w:pos="4536" w:leader="none"/>
      </w:tabs>
      <w:ind w:left="142" w:right="-283" w:hanging="0"/>
      <w:rPr/>
    </w:pPr>
    <w:r>
      <w:rPr/>
    </w:r>
  </w:p>
  <w:p>
    <w:pPr>
      <w:pStyle w:val="Gwka"/>
      <w:tabs>
        <w:tab w:val="clear" w:pos="9072"/>
        <w:tab w:val="center" w:pos="4536" w:leader="none"/>
      </w:tabs>
      <w:ind w:left="142" w:right="-283" w:hanging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65d2f"/>
    <w:pPr>
      <w:widowControl/>
      <w:bidi w:val="0"/>
      <w:spacing w:lineRule="auto" w:line="259" w:before="0" w:after="160"/>
      <w:jc w:val="left"/>
    </w:pPr>
    <w:rPr>
      <w:rFonts w:eastAsia="" w:cs="Times New Roman" w:eastAsiaTheme="minorEastAsia" w:ascii="Calibri" w:hAnsi="Calibri"/>
      <w:color w:val="auto"/>
      <w:kern w:val="0"/>
      <w:sz w:val="22"/>
      <w:szCs w:val="22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285d6f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85d6f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85d6f"/>
    <w:rPr>
      <w:rFonts w:ascii="Tahoma" w:hAnsi="Tahoma" w:cs="Tahoma"/>
      <w:sz w:val="16"/>
      <w:szCs w:val="16"/>
    </w:rPr>
  </w:style>
  <w:style w:type="character" w:styleId="Bold" w:customStyle="1">
    <w:name w:val="Bold"/>
    <w:uiPriority w:val="99"/>
    <w:qFormat/>
    <w:rsid w:val="00565d2f"/>
    <w:rPr>
      <w:b/>
    </w:rPr>
  </w:style>
  <w:style w:type="character" w:styleId="BoldCondensed" w:customStyle="1">
    <w:name w:val="BoldCondensed"/>
    <w:uiPriority w:val="99"/>
    <w:qFormat/>
    <w:rsid w:val="00565d2f"/>
    <w:rPr>
      <w:b/>
    </w:rPr>
  </w:style>
  <w:style w:type="character" w:styleId="Boldasia" w:customStyle="1">
    <w:name w:val="bold (asia)"/>
    <w:uiPriority w:val="99"/>
    <w:qFormat/>
    <w:rsid w:val="00565d2f"/>
    <w:rPr>
      <w:b/>
    </w:rPr>
  </w:style>
  <w:style w:type="character" w:styleId="BOLDCONDENSED1" w:customStyle="1">
    <w:name w:val="BOLD CONDENSED"/>
    <w:uiPriority w:val="99"/>
    <w:qFormat/>
    <w:rsid w:val="00565d2f"/>
    <w:rPr>
      <w:b/>
    </w:rPr>
  </w:style>
  <w:style w:type="character" w:styleId="Indeksdolny" w:customStyle="1">
    <w:name w:val="Indeks dolny"/>
    <w:uiPriority w:val="99"/>
    <w:qFormat/>
    <w:rsid w:val="00565d2f"/>
    <w:rPr>
      <w:sz w:val="22"/>
      <w:vertAlign w:val="subscript"/>
    </w:rPr>
  </w:style>
  <w:style w:type="character" w:styleId="Bezdzielenia" w:customStyle="1">
    <w:name w:val="bez dzielenia"/>
    <w:uiPriority w:val="99"/>
    <w:qFormat/>
    <w:rsid w:val="00565d2f"/>
    <w:rPr>
      <w:u w:val="none"/>
    </w:rPr>
  </w:style>
  <w:style w:type="character" w:styleId="Kropaniebieska" w:customStyle="1">
    <w:name w:val="kropa niebieska"/>
    <w:uiPriority w:val="99"/>
    <w:qFormat/>
    <w:rsid w:val="00565d2f"/>
    <w:rPr>
      <w:rFonts w:ascii="AgendaPl-Bold" w:hAnsi="AgendaPl-Bold"/>
      <w:b/>
      <w:color w:val="15419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85d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85d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85d6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5810"/>
    <w:pPr>
      <w:spacing w:before="0" w:after="160"/>
      <w:ind w:left="720" w:hanging="0"/>
      <w:contextualSpacing/>
    </w:pPr>
    <w:rPr/>
  </w:style>
  <w:style w:type="paragraph" w:styleId="Brakstyluakapitowego" w:customStyle="1">
    <w:name w:val="[Brak stylu akapitowego]"/>
    <w:qFormat/>
    <w:rsid w:val="00565d2f"/>
    <w:pPr>
      <w:widowControl w:val="false"/>
      <w:bidi w:val="0"/>
      <w:spacing w:lineRule="auto" w:line="288" w:before="0" w:after="0"/>
      <w:jc w:val="left"/>
      <w:textAlignment w:val="center"/>
    </w:pPr>
    <w:rPr>
      <w:rFonts w:ascii="MinionPro-Regular" w:hAnsi="MinionPro-Regular" w:eastAsia="" w:cs="MinionPro-Regular" w:eastAsiaTheme="minorEastAsia"/>
      <w:color w:val="000000"/>
      <w:kern w:val="0"/>
      <w:sz w:val="24"/>
      <w:szCs w:val="24"/>
      <w:lang w:eastAsia="pl-PL" w:val="pl-PL" w:bidi="ar-SA"/>
    </w:rPr>
  </w:style>
  <w:style w:type="paragraph" w:styleId="Tytu1NieuzywaneTytuy" w:customStyle="1">
    <w:name w:val="tytuł 1 (Nieuzywane:Tytuły)"/>
    <w:basedOn w:val="Brakstyluakapitowego"/>
    <w:uiPriority w:val="99"/>
    <w:qFormat/>
    <w:rsid w:val="00565d2f"/>
    <w:pPr>
      <w:suppressAutoHyphens w:val="true"/>
      <w:spacing w:lineRule="atLeast" w:line="600"/>
    </w:pPr>
    <w:rPr>
      <w:rFonts w:ascii="AgendaPl-Bold" w:hAnsi="AgendaPl-Bold" w:cs="AgendaPl-Bold"/>
      <w:b/>
      <w:bCs/>
      <w:color w:val="F39200"/>
      <w:sz w:val="42"/>
      <w:szCs w:val="42"/>
    </w:rPr>
  </w:style>
  <w:style w:type="paragraph" w:styleId="001TekstpodstawowyNieuzywanefiz" w:customStyle="1">
    <w:name w:val="001 Tekst podstawowy (Nieuzywane:fiz)"/>
    <w:basedOn w:val="Brakstyluakapitowego"/>
    <w:uiPriority w:val="99"/>
    <w:qFormat/>
    <w:rsid w:val="00565d2f"/>
    <w:pPr>
      <w:tabs>
        <w:tab w:val="clear" w:pos="708"/>
        <w:tab w:val="left" w:pos="170" w:leader="none"/>
        <w:tab w:val="left" w:pos="340" w:leader="none"/>
        <w:tab w:val="left" w:pos="510" w:leader="none"/>
      </w:tabs>
      <w:spacing w:lineRule="atLeast" w:line="240"/>
      <w:jc w:val="both"/>
    </w:pPr>
    <w:rPr>
      <w:rFonts w:ascii="Dutch801HdEU-Normal" w:hAnsi="Dutch801HdEU-Normal" w:cs="Dutch801HdEU-Normal"/>
      <w:sz w:val="20"/>
      <w:szCs w:val="20"/>
    </w:rPr>
  </w:style>
  <w:style w:type="paragraph" w:styleId="TabelaglowkaNieuzywanefiz" w:customStyle="1">
    <w:name w:val="tabela glowka (Nieuzywane:fiz)"/>
    <w:basedOn w:val="Brakstyluakapitowego"/>
    <w:uiPriority w:val="99"/>
    <w:qFormat/>
    <w:rsid w:val="00565d2f"/>
    <w:pPr>
      <w:spacing w:lineRule="atLeast" w:line="240"/>
      <w:jc w:val="center"/>
    </w:pPr>
    <w:rPr>
      <w:rFonts w:ascii="AgendaPl-BoldCondensed" w:hAnsi="AgendaPl-BoldCondensed" w:cs="AgendaPl-BoldCondensed"/>
      <w:b/>
      <w:bCs/>
      <w:color w:val="FFFFFF"/>
    </w:rPr>
  </w:style>
  <w:style w:type="paragraph" w:styleId="Tabelabelkatabele" w:customStyle="1">
    <w:name w:val="tabela - belka (tabele)"/>
    <w:basedOn w:val="Brakstyluakapitowego"/>
    <w:uiPriority w:val="99"/>
    <w:qFormat/>
    <w:rsid w:val="00565d2f"/>
    <w:pPr>
      <w:suppressAutoHyphens w:val="true"/>
      <w:spacing w:lineRule="atLeast" w:line="240"/>
      <w:jc w:val="center"/>
    </w:pPr>
    <w:rPr>
      <w:rFonts w:ascii="AgendaPl-BoldCondensed" w:hAnsi="AgendaPl-BoldCondensed" w:cs="AgendaPl-BoldCondensed"/>
      <w:b/>
      <w:bCs/>
      <w:color w:val="FFFFFF"/>
      <w:sz w:val="20"/>
      <w:szCs w:val="20"/>
    </w:rPr>
  </w:style>
  <w:style w:type="paragraph" w:styleId="TabelatekstbolddolewejNieuzywanefiz" w:customStyle="1">
    <w:name w:val="tabela tekst bold do lewej (Nieuzywane:fiz)"/>
    <w:basedOn w:val="Brakstyluakapitowego"/>
    <w:uiPriority w:val="99"/>
    <w:qFormat/>
    <w:rsid w:val="00565d2f"/>
    <w:pPr>
      <w:tabs>
        <w:tab w:val="clear" w:pos="708"/>
        <w:tab w:val="left" w:pos="170" w:leader="none"/>
      </w:tabs>
      <w:spacing w:lineRule="atLeast" w:line="255"/>
    </w:pPr>
    <w:rPr>
      <w:rFonts w:ascii="AgendaPl-BoldCondensed" w:hAnsi="AgendaPl-BoldCondensed" w:cs="AgendaPl-BoldCondensed"/>
      <w:b/>
      <w:bCs/>
      <w:sz w:val="20"/>
      <w:szCs w:val="20"/>
    </w:rPr>
  </w:style>
  <w:style w:type="paragraph" w:styleId="Tabelatekstpodstawowynumerkitabele" w:customStyle="1">
    <w:name w:val="tabela - tekst podstawowy numerki (tabele)"/>
    <w:basedOn w:val="Brakstyluakapitowego"/>
    <w:uiPriority w:val="99"/>
    <w:qFormat/>
    <w:rsid w:val="00565d2f"/>
    <w:pPr>
      <w:tabs>
        <w:tab w:val="clear" w:pos="708"/>
        <w:tab w:val="left" w:pos="170" w:leader="none"/>
      </w:tabs>
      <w:spacing w:lineRule="atLeast" w:line="230"/>
      <w:ind w:left="170" w:hanging="170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styleId="Tabelatekstpodstawowytabele" w:customStyle="1">
    <w:name w:val="tabela - tekst podstawowy (tabele)"/>
    <w:basedOn w:val="Brakstyluakapitowego"/>
    <w:uiPriority w:val="99"/>
    <w:qFormat/>
    <w:rsid w:val="00565d2f"/>
    <w:pPr>
      <w:tabs>
        <w:tab w:val="clear" w:pos="708"/>
        <w:tab w:val="left" w:pos="170" w:leader="none"/>
      </w:tabs>
      <w:spacing w:lineRule="atLeast" w:line="230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styleId="TabelatekstpodstawowyNieuzywaneGeografia" w:customStyle="1">
    <w:name w:val="tabela - tekst podstawowy (Nieuzywane:Geografia)"/>
    <w:basedOn w:val="Brakstyluakapitowego"/>
    <w:uiPriority w:val="99"/>
    <w:qFormat/>
    <w:rsid w:val="00565d2f"/>
    <w:pPr>
      <w:tabs>
        <w:tab w:val="clear" w:pos="708"/>
        <w:tab w:val="left" w:pos="170" w:leader="none"/>
      </w:tabs>
      <w:spacing w:lineRule="atLeast" w:line="230"/>
    </w:pPr>
    <w:rPr>
      <w:rFonts w:ascii="AgendaPl-RegularCondensed" w:hAnsi="AgendaPl-RegularCondensed" w:cs="AgendaPl-RegularCondensed"/>
      <w:w w:val="97"/>
      <w:sz w:val="20"/>
      <w:szCs w:val="20"/>
    </w:rPr>
  </w:style>
  <w:style w:type="paragraph" w:styleId="Tabelatekstpodstawowykropatabele" w:customStyle="1">
    <w:name w:val="tabela - tekst podstawowy kropa (tabele)"/>
    <w:basedOn w:val="TabelatekstpodstawowyNieuzywaneGeografia"/>
    <w:uiPriority w:val="99"/>
    <w:qFormat/>
    <w:rsid w:val="00565d2f"/>
    <w:pPr>
      <w:ind w:left="170" w:hanging="170"/>
    </w:pPr>
    <w:rPr/>
  </w:style>
  <w:style w:type="paragraph" w:styleId="TabelatekstNieuzywaneGeografia" w:customStyle="1">
    <w:name w:val="tabela tekst (Nieuzywane:Geografia)"/>
    <w:basedOn w:val="Brakstyluakapitowego"/>
    <w:uiPriority w:val="99"/>
    <w:qFormat/>
    <w:rsid w:val="00565d2f"/>
    <w:pPr>
      <w:tabs>
        <w:tab w:val="clear" w:pos="708"/>
        <w:tab w:val="left" w:pos="170" w:leader="none"/>
      </w:tabs>
      <w:spacing w:lineRule="atLeast" w:line="255"/>
      <w:jc w:val="both"/>
    </w:pPr>
    <w:rPr>
      <w:rFonts w:ascii="AgendaPl-RegularCondensed" w:hAnsi="AgendaPl-RegularCondensed" w:cs="AgendaPl-RegularCondensed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764EA5-554A-470A-B784-CA887E79B2BF}"/>
</file>

<file path=customXml/itemProps2.xml><?xml version="1.0" encoding="utf-8"?>
<ds:datastoreItem xmlns:ds="http://schemas.openxmlformats.org/officeDocument/2006/customXml" ds:itemID="{07E429D5-241C-477E-8C0C-16ED5BBE6F3A}"/>
</file>

<file path=customXml/itemProps3.xml><?xml version="1.0" encoding="utf-8"?>
<ds:datastoreItem xmlns:ds="http://schemas.openxmlformats.org/officeDocument/2006/customXml" ds:itemID="{8EA1A2AB-FD4F-4A9B-A37B-E950F71DEA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A074BB-5AC1-41C5-8BB9-87CA3E67C0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LibreOffice/7.0.1.2$Windows_X86_64 LibreOffice_project/7cbcfc562f6eb6708b5ff7d7397325de9e764452</Application>
  <Pages>14</Pages>
  <Words>2534</Words>
  <Characters>17156</Characters>
  <CharactersWithSpaces>18860</CharactersWithSpaces>
  <Paragraphs>867</Paragraphs>
  <Company>WSiP Sp. z o.o.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2021-10-10T06:53:00Z</dcterms:created>
  <dc:creator>Marta Jedlinska</dc:creator>
  <dc:description/>
  <dc:language>pl-PL</dc:language>
  <cp:lastModifiedBy/>
  <dcterms:modified xsi:type="dcterms:W3CDTF">2022-11-13T19:39:19Z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WSiP Sp. z o.o.</vt:lpwstr>
  </property>
  <property fmtid="{D5CDD505-2E9C-101B-9397-08002B2CF9AE}" pid="4" name="ContentTypeId">
    <vt:lpwstr>0x010100D5514E6C03C278468B80BACF80B64CFF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