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D5" w:rsidRPr="00FB3FD5" w:rsidRDefault="00FB3FD5" w:rsidP="00FB3F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3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 dla klas kształcących s</w:t>
      </w:r>
      <w:r w:rsidR="008266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ię w zawodzie Technik Rachunkowości</w:t>
      </w:r>
    </w:p>
    <w:p w:rsidR="00FB3FD5" w:rsidRPr="00FB3FD5" w:rsidRDefault="008266A4" w:rsidP="00FB3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</w:t>
      </w:r>
      <w:r w:rsidR="00FB3FD5"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3FD5" w:rsidRPr="00FB3FD5" w:rsidRDefault="00FB3FD5" w:rsidP="00FB3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przedmiot:</w:t>
      </w:r>
      <w:r w:rsidRPr="00FB3F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GOSPODARKA FINANSOWA</w:t>
      </w: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3FD5" w:rsidRPr="00FB3FD5" w:rsidRDefault="00FB3FD5" w:rsidP="00FB3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>Nr progr</w:t>
      </w:r>
      <w:r w:rsidR="00961ED9">
        <w:rPr>
          <w:rFonts w:ascii="Times New Roman" w:eastAsia="Times New Roman" w:hAnsi="Times New Roman" w:cs="Times New Roman"/>
          <w:sz w:val="24"/>
          <w:szCs w:val="24"/>
          <w:lang w:eastAsia="pl-PL"/>
        </w:rPr>
        <w:t>amu nauczania CKZIU-T3-TRACH-431103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-2022</w:t>
      </w:r>
    </w:p>
    <w:p w:rsidR="00FB3FD5" w:rsidRPr="00FB3FD5" w:rsidRDefault="00FB3FD5" w:rsidP="00FB3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programu: Program nauczan</w:t>
      </w:r>
      <w:r w:rsidR="008266A4">
        <w:rPr>
          <w:rFonts w:ascii="Times New Roman" w:eastAsia="Times New Roman" w:hAnsi="Times New Roman" w:cs="Times New Roman"/>
          <w:sz w:val="24"/>
          <w:szCs w:val="24"/>
          <w:lang w:eastAsia="pl-PL"/>
        </w:rPr>
        <w:t>ia dla zawodu Technik rachunkowości</w:t>
      </w:r>
    </w:p>
    <w:p w:rsidR="00FB3FD5" w:rsidRDefault="00FB3FD5" w:rsidP="00FB3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: mgr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Mariola Ratajska</w:t>
      </w:r>
    </w:p>
    <w:p w:rsidR="00961ED9" w:rsidRPr="00FB3FD5" w:rsidRDefault="00961ED9" w:rsidP="00FB3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0"/>
        <w:gridCol w:w="140"/>
        <w:gridCol w:w="2978"/>
        <w:gridCol w:w="2730"/>
        <w:gridCol w:w="268"/>
        <w:gridCol w:w="2607"/>
        <w:gridCol w:w="641"/>
        <w:gridCol w:w="1966"/>
      </w:tblGrid>
      <w:tr w:rsidR="00FB3FD5" w:rsidRPr="00FB3FD5" w:rsidTr="00FB3FD5">
        <w:trPr>
          <w:trHeight w:val="300"/>
        </w:trPr>
        <w:tc>
          <w:tcPr>
            <w:tcW w:w="145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divId w:val="685516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 na poszczególne oceny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FD5" w:rsidRPr="00FB3FD5" w:rsidTr="00FB3FD5"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 (2)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 (3)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 (4)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 (5)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celująca (6)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FD5" w:rsidRPr="00FB3FD5" w:rsidTr="00FB3FD5">
        <w:trPr>
          <w:trHeight w:val="300"/>
        </w:trPr>
        <w:tc>
          <w:tcPr>
            <w:tcW w:w="145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</w:tc>
      </w:tr>
      <w:tr w:rsidR="00FB3FD5" w:rsidRPr="00FB3FD5" w:rsidTr="00FB3FD5">
        <w:trPr>
          <w:trHeight w:val="300"/>
        </w:trPr>
        <w:tc>
          <w:tcPr>
            <w:tcW w:w="145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ROZLICZENIA Z KONTRAHENTAMI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FD5" w:rsidRPr="00FB3FD5" w:rsidTr="00FB3FD5"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-wymienia formy rozliczeń gotówkowych i bezgotówkowych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zasady obliczania odsetek za opóźnienie w transakcjach handlowych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-wymienia rodzaje weksli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pojęcia z obrotu wekslowego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 zasady obliczania kosztów i przychodów wynikających z wekslowych rozliczeń z kontrahentami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pojęcie dyskonta z tytułu wykupu przez bank weksla przed terminem płatności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-rozróżnia formy rozliczeń gotówkowych i bezgotówkowych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-charakteryzuje koszty i przychody wynikające z transakcji z kontrahentami krajowymi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-definiuje odsetki za opóźnienie w transakcjach handlowych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-rozróżnia rodzaje weksli i pojęcia z obrotu wekslowego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-charakteryzuje  koszty i przychody wynikające z wekslowych rozliczeń z kontrahentami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-objaśnia pojęcie dyskonta z tytułu wykupu przez bank weksla przed terminem płatności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-charakteryzuje  formy rozliczeń gotówkowych i bezgotówkowych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koszty i przychody wynikające z transakcji z kontrahentami krajowymi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odsetki za opóźnienie w transakcjach handlowych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 rodzaje weksli i pojęcia z obrotu wekslowego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koszty i przychody wynikające z wekslowych rozliczeń z kontrahentami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kwotę dyskonta z tytułu wykupu przez bank weksla przed terminem płatności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-dobiera formy rozliczeń gotówkowych i bezgotówkowych do rodzaju transakcji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koszty i przychody wynikające z transakcji z kontrahentami zagranicznymi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odsetki za opóźnienie w transakcjach handlowych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-interpretuje postanowienia zawarte w dokumentach transakcji przeterminowanych,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oblicza i interpretuje koszty i przychody wynikające z wekslowych rozliczeń z kontrahentami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i interpretuje kwotę dyskonta z tytułu wykupu przez bank weksla przed terminem płatności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spełnia wymagania przewidziane na ocenę bardzo dobrą, a ponadto: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-sprawnie  posługuje sie przepisami prawa w zakresie obowiązujących treści kształcenia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3FD5" w:rsidRPr="00FB3FD5" w:rsidTr="00FB3FD5">
        <w:trPr>
          <w:trHeight w:val="300"/>
        </w:trPr>
        <w:tc>
          <w:tcPr>
            <w:tcW w:w="145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II. </w:t>
            </w: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WSPÓŁPRACA PODMIOTU GOSPODARCZEGO Z BANKIEM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FD5" w:rsidRPr="00FB3FD5" w:rsidTr="00FB3FD5">
        <w:trPr>
          <w:trHeight w:val="300"/>
        </w:trPr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-wymienia rodzaje rachunków bankowych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zna pojęcie i rodzaje kredytów </w:t>
            </w: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bankowych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pojęcia: usługa factoringu, usługa forfaitingu, usługa udzielenia gwarancji przez bank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-wymienia rodzaje operacji bankowych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-definiuje koszt usługi factoringu, forfaitingu i gwarancji świadczonej przez bank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elementy całkowitego kosztu kredytu bankowego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-rozróżnia rodzaje rachunków bankowych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-charakteryzuje poszczególne </w:t>
            </w: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rodzaje kredytów bankowych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-definiuje pojęcia: usługa factoringu, usługa forfaitingu, usługa udzielenia gwarancji przez bank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-charakteryzuje rodzaje operacji bankowych na podstawie wyciągu bankowego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zasady obliczania kosztu usługi factoringu, forfaitingu i gwarancji świadczonej przez bank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zasady obliczania całkowitego kosztu kredytu bankowego 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-charakteryzuje poszczególne rodzaje rachunków bankowych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rozróżnia rodzaje kredytów </w:t>
            </w: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bankowych w zależności od przedmiotu finansowania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identyfikuje pojęcia: usługa factoringu, usługa forfaitingu, usługa udzielenia gwarancji przez bank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 operacje powodujące zmiany na rachunkach bankowych na podstawie wyciągu bankowego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oblicza koszt usługi factoringu, forfaitingu i gwarancji świadczonej przez bank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całkowity koszt kredytu bankowego z uwzględnieniem różnych składników, np. odsetek prostych, odsetek skapitalizowanych,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-ocenia ofert kredytowe różnych banków kredytową na podstawie z punktu widzenia kosztu całkowitego kredytu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odsetki od lokat terminowych 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charakteryzuje poszczególne rodzaje rachunków bankowych uzasadnia prowadzenie danego rachunku 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dobiera odpowiedni rodzaj kredytu do rodzaju kredytowanego przedsięwzięcia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-charakteryzuje pojęcia: usługa factoringu, usługa forfaitingu, usługa udzielenia gwarancji przez bank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-interpretuje zapisy wyciągu bankowego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oblicza całkowity koszt kredytu bankowego z uwzględnieniem różnych składników, np. odsetek prostych, odsetek skapitalizowanych, prowizji bankowych, kosztów manipulacyjnych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wybiera najkorzystniejszą ofertę kredytową na podstawie podanych ofert kilku banków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odsetki od lokat terminowych i wybiera najkorzystniejszą ofertę lokowania środków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spełnia wymagania przewidziane na ocenę bardzo dobrą, a </w:t>
            </w: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-kompleksowo prowadzi gospodarkę finansową jednostki w zakresie współpracy z baniem </w:t>
            </w:r>
          </w:p>
        </w:tc>
      </w:tr>
    </w:tbl>
    <w:p w:rsidR="00EE4835" w:rsidRDefault="00EE4835" w:rsidP="00ED2702">
      <w:pPr>
        <w:spacing w:after="0" w:line="240" w:lineRule="auto"/>
        <w:textAlignment w:val="baseline"/>
      </w:pPr>
    </w:p>
    <w:p w:rsidR="00ED2702" w:rsidRDefault="00ED2702" w:rsidP="00ED27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Aby uzyskać ocenę wyższą należy posiadać także wiedzę i umiejętności podane w wymaganiach dla ocen niższych.</w:t>
      </w:r>
      <w:r>
        <w:rPr>
          <w:rStyle w:val="eop"/>
        </w:rPr>
        <w:t> </w:t>
      </w:r>
    </w:p>
    <w:p w:rsidR="00ED2702" w:rsidRDefault="00ED2702" w:rsidP="00ED27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Kryteria oceniania są zgodne ze statutem szkoły. Ocena końcowa jest oceną wystawianą przez nauczyciela</w:t>
      </w:r>
      <w:r>
        <w:rPr>
          <w:rStyle w:val="eop"/>
        </w:rPr>
        <w:t> </w:t>
      </w:r>
    </w:p>
    <w:p w:rsidR="00ED2702" w:rsidRDefault="00ED2702" w:rsidP="00ED27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ED2702" w:rsidRDefault="00ED2702" w:rsidP="00ED27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ED2702" w:rsidRDefault="00ED2702" w:rsidP="00ED2702">
      <w:pPr>
        <w:spacing w:after="0" w:line="240" w:lineRule="auto"/>
        <w:textAlignment w:val="baseline"/>
      </w:pPr>
      <w:bookmarkStart w:id="0" w:name="_GoBack"/>
      <w:bookmarkEnd w:id="0"/>
    </w:p>
    <w:p w:rsidR="00ED2702" w:rsidRDefault="00ED2702" w:rsidP="00ED2702">
      <w:pPr>
        <w:spacing w:after="0" w:line="240" w:lineRule="auto"/>
        <w:textAlignment w:val="baseline"/>
      </w:pPr>
    </w:p>
    <w:sectPr w:rsidR="00ED2702" w:rsidSect="00FB3F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3FD5"/>
    <w:rsid w:val="008266A4"/>
    <w:rsid w:val="00961ED9"/>
    <w:rsid w:val="00ED2702"/>
    <w:rsid w:val="00EE4835"/>
    <w:rsid w:val="00F20501"/>
    <w:rsid w:val="00F30EC2"/>
    <w:rsid w:val="00FB3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D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D2702"/>
  </w:style>
  <w:style w:type="character" w:customStyle="1" w:styleId="eop">
    <w:name w:val="eop"/>
    <w:basedOn w:val="Domylnaczcionkaakapitu"/>
    <w:rsid w:val="00ED2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2</cp:revision>
  <dcterms:created xsi:type="dcterms:W3CDTF">2022-11-12T18:57:00Z</dcterms:created>
  <dcterms:modified xsi:type="dcterms:W3CDTF">2022-11-12T18:57:00Z</dcterms:modified>
</cp:coreProperties>
</file>