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</w:rPr>
        <w:t xml:space="preserve">Wymagania edukacyjne do przedmiotu podstawy przedsiębiorczości w klasach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</w:rPr>
        <w:t>3 TEp i 3 TŻp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sz w:val="28"/>
          <w:szCs w:val="28"/>
        </w:rPr>
        <w:t>Rok szkolny 2</w:t>
      </w:r>
      <w:r>
        <w:rPr>
          <w:rFonts w:eastAsia="Times New Roman" w:cs="Arial" w:ascii="Arial" w:hAnsi="Arial"/>
          <w:b/>
          <w:bCs/>
          <w:color w:val="auto"/>
          <w:sz w:val="28"/>
          <w:szCs w:val="28"/>
          <w:lang w:val="pl-PL" w:bidi="ar-SA"/>
        </w:rPr>
        <w:t>021/2022</w:t>
      </w:r>
    </w:p>
    <w:p>
      <w:pPr>
        <w:pStyle w:val="Normal"/>
        <w:bidi w:val="0"/>
        <w:jc w:val="center"/>
        <w:rPr>
          <w:rFonts w:ascii="Arial" w:hAnsi="Arial" w:eastAsia="Times New Roman" w:cs="Arial"/>
          <w:b/>
          <w:b/>
          <w:bCs/>
          <w:color w:val="auto"/>
          <w:sz w:val="28"/>
          <w:szCs w:val="28"/>
          <w:lang w:val="pl-PL" w:bidi="ar-SA"/>
        </w:rPr>
      </w:pPr>
      <w:r>
        <w:rPr>
          <w:rFonts w:eastAsia="Times New Roman" w:cs="Arial" w:ascii="Arial" w:hAnsi="Arial"/>
          <w:b/>
          <w:bCs/>
          <w:color w:val="auto"/>
          <w:sz w:val="28"/>
          <w:szCs w:val="28"/>
          <w:lang w:val="pl-PL" w:bidi="ar-SA"/>
        </w:rPr>
      </w:r>
    </w:p>
    <w:tbl>
      <w:tblPr>
        <w:tblW w:w="15991" w:type="dxa"/>
        <w:jc w:val="left"/>
        <w:tblInd w:w="-108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64"/>
        <w:gridCol w:w="425"/>
        <w:gridCol w:w="1559"/>
        <w:gridCol w:w="2552"/>
        <w:gridCol w:w="2551"/>
        <w:gridCol w:w="2694"/>
        <w:gridCol w:w="2693"/>
        <w:gridCol w:w="2151"/>
      </w:tblGrid>
      <w:tr>
        <w:trPr/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PRACA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90" w:leader="none"/>
              </w:tabs>
              <w:bidi w:val="0"/>
              <w:snapToGrid w:val="false"/>
              <w:spacing w:before="0" w:after="0"/>
              <w:ind w:left="0" w:hanging="0"/>
              <w:jc w:val="center"/>
              <w:rPr>
                <w:rFonts w:ascii="Arial" w:hAnsi="Arial" w:cs="Arial"/>
                <w:b/>
                <w:b/>
                <w:bCs/>
                <w:i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Rynek pracy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definiuje pojęcia: „praca”, „humanizacja pracy”, „aktywność zawodowa”, „współczynnik aktywności zawodowej”, „bezrobocie”</w:t>
            </w:r>
          </w:p>
          <w:p>
            <w:pPr>
              <w:pStyle w:val="Akapitzlist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>wyjaśnia, czym jest rynek pracy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</w:rPr>
              <w:t xml:space="preserve"> i wymienia jego uczestników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przedstawia pracę jako wartość</w:t>
            </w:r>
          </w:p>
          <w:p>
            <w:pPr>
              <w:pStyle w:val="Akapitzlist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>wymienia i omawia bodźce skłaniające człowieka do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podejmowania </w:t>
            </w:r>
            <w:r>
              <w:rPr>
                <w:rFonts w:cs="Times New Roman" w:ascii="Times New Roman" w:hAnsi="Times New Roman"/>
              </w:rPr>
              <w:t>pracy</w:t>
            </w:r>
          </w:p>
          <w:p>
            <w:pPr>
              <w:pStyle w:val="Akapitzlist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 motywy aktywności zawodowej człowieka</w:t>
            </w:r>
          </w:p>
          <w:p>
            <w:pPr>
              <w:pStyle w:val="Akapitzlist"/>
              <w:widowControl w:val="false"/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44" w:hanging="4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omawia skutki nadmiernego popytu na rynku pracy</w:t>
            </w:r>
          </w:p>
          <w:p>
            <w:pPr>
              <w:pStyle w:val="Akapitzlist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wymienia i charakteryzuje przyczyny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cs="Times New Roman" w:ascii="Times New Roman" w:hAnsi="Times New Roman"/>
              </w:rPr>
              <w:t>konsekwencje zjawiska nierównowagi na rynku pracy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analizuje popyt na pracę i podaż pracy, uwzględniając czynniki wpływające na wielkość popytu i podaży pracy</w:t>
            </w:r>
          </w:p>
          <w:p>
            <w:pPr>
              <w:pStyle w:val="Akapitzlist"/>
              <w:widowControl w:val="false"/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oblicza na prostych przykładach współczynnik aktywności zawodowej </w:t>
            </w:r>
          </w:p>
        </w:tc>
      </w:tr>
      <w:tr>
        <w:trPr/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90" w:leader="none"/>
              </w:tabs>
              <w:bidi w:val="0"/>
              <w:snapToGrid w:val="false"/>
              <w:spacing w:before="0" w:after="0"/>
              <w:ind w:left="0" w:hanging="0"/>
              <w:jc w:val="center"/>
              <w:rPr>
                <w:rFonts w:ascii="Arial" w:hAnsi="Arial" w:cs="Arial"/>
                <w:b/>
                <w:b/>
                <w:bCs/>
                <w:i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Poszukiwanie pracy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wyjaśnia, czym jest aktywne poszukiwanie pracy</w:t>
            </w:r>
          </w:p>
          <w:p>
            <w:pPr>
              <w:pStyle w:val="Akapitzlist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wyjaśnia,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jak rozpoznać własne predyspozycje i możliwości zawodowe</w:t>
            </w:r>
          </w:p>
          <w:p>
            <w:pPr>
              <w:pStyle w:val="Akapitzlist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i omawia sposoby poszukiwania pracy</w:t>
            </w:r>
          </w:p>
          <w:p>
            <w:pPr>
              <w:pStyle w:val="Akapitzlist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zasady pisania CV i listu motywacyjnego</w:t>
            </w:r>
          </w:p>
          <w:p>
            <w:pPr>
              <w:pStyle w:val="Akapitzlist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najczęstsze błędy w CV i listach motywacyjnych</w:t>
            </w:r>
          </w:p>
          <w:p>
            <w:pPr>
              <w:pStyle w:val="Akapitzlist"/>
              <w:widowControl w:val="false"/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Akapitzlist"/>
              <w:widowControl w:val="false"/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0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>wyjaśnia, na czym polega rozpoznanie rynku pracy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uwzględniające zawody deficytowe i nadwyżkowe</w:t>
            </w:r>
            <w:r>
              <w:rPr>
                <w:rFonts w:cs="Times New Roman" w:ascii="Times New Roman" w:hAnsi="Times New Roman"/>
                <w:strike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oraz najczęstsze oczekiwania pracodawców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Akapitzlist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wymienia kompetencje miękkie,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na </w:t>
            </w:r>
            <w:r>
              <w:rPr>
                <w:rFonts w:cs="Times New Roman" w:ascii="Times New Roman" w:hAnsi="Times New Roman"/>
              </w:rPr>
              <w:t>które najczęściej zwracają uwagę pracodawcy</w:t>
            </w:r>
          </w:p>
          <w:p>
            <w:pPr>
              <w:pStyle w:val="Akapitzlist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uzasadnia konieczność jednoczesnego korzystania z kilku metod szukania pracy</w:t>
            </w:r>
          </w:p>
          <w:p>
            <w:pPr>
              <w:pStyle w:val="Akapitzlist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odróżnia wiarygodne oferty pracy</w:t>
            </w:r>
          </w:p>
          <w:p>
            <w:pPr>
              <w:pStyle w:val="Akapitzlist"/>
              <w:widowControl w:val="false"/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i omawia elementy dokumentów aplikacyjnych (uwzględniając Europass)</w:t>
            </w:r>
          </w:p>
          <w:p>
            <w:pPr>
              <w:pStyle w:val="Akapitzlist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analizuje własne możliwości znalezienia pracy na rynku lokalnym, regionalnym, krajowym i europejskim</w:t>
            </w:r>
          </w:p>
          <w:p>
            <w:pPr>
              <w:pStyle w:val="Akapitzlist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>wyszukuje oferty pracy, uwzgl</w:t>
            </w:r>
            <w:r>
              <w:rPr>
                <w:rFonts w:eastAsia="TimesNewRoman;MS Mincho" w:cs="Times New Roman" w:ascii="Times New Roman" w:hAnsi="Times New Roman"/>
              </w:rPr>
              <w:t>ę</w:t>
            </w:r>
            <w:r>
              <w:rPr>
                <w:rFonts w:cs="Times New Roman" w:ascii="Times New Roman" w:hAnsi="Times New Roman"/>
              </w:rPr>
              <w:t>dniaj</w:t>
            </w:r>
            <w:r>
              <w:rPr>
                <w:rFonts w:eastAsia="TimesNewRoman;MS Mincho" w:cs="Times New Roman" w:ascii="Times New Roman" w:hAnsi="Times New Roman"/>
              </w:rPr>
              <w:t>ą</w:t>
            </w:r>
            <w:r>
              <w:rPr>
                <w:rFonts w:cs="Times New Roman" w:ascii="Times New Roman" w:hAnsi="Times New Roman"/>
              </w:rPr>
              <w:t>c własne mo</w:t>
            </w:r>
            <w:r>
              <w:rPr>
                <w:rFonts w:eastAsia="TimesNewRoman;MS Mincho" w:cs="Times New Roman" w:ascii="Times New Roman" w:hAnsi="Times New Roman"/>
              </w:rPr>
              <w:t>ż</w:t>
            </w:r>
            <w:r>
              <w:rPr>
                <w:rFonts w:cs="Times New Roman" w:ascii="Times New Roman" w:hAnsi="Times New Roman"/>
              </w:rPr>
              <w:t>liwo</w:t>
            </w:r>
            <w:r>
              <w:rPr>
                <w:rFonts w:eastAsia="TimesNewRoman;MS Mincho" w:cs="Times New Roman" w:ascii="Times New Roman" w:hAnsi="Times New Roman"/>
              </w:rPr>
              <w:t>ś</w:t>
            </w:r>
            <w:r>
              <w:rPr>
                <w:rFonts w:cs="Times New Roman" w:ascii="Times New Roman" w:hAnsi="Times New Roman"/>
              </w:rPr>
              <w:t>ci i predyspozycje</w:t>
            </w:r>
          </w:p>
          <w:p>
            <w:pPr>
              <w:pStyle w:val="Akapitzlist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tworzy dokumenty aplikacyjne dotyczące konkretnej oferty pracy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4"/>
              </w:numPr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wypełnia formularz Europass CV w języku polskim </w:t>
            </w:r>
          </w:p>
        </w:tc>
      </w:tr>
      <w:tr>
        <w:trPr/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90" w:leader="none"/>
              </w:tabs>
              <w:bidi w:val="0"/>
              <w:snapToGrid w:val="false"/>
              <w:spacing w:before="0" w:after="0"/>
              <w:ind w:left="0" w:hanging="0"/>
              <w:jc w:val="center"/>
              <w:rPr>
                <w:rFonts w:ascii="Arial" w:hAnsi="Arial" w:cs="Arial"/>
                <w:b/>
                <w:b/>
                <w:bCs/>
                <w:i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Rozmowa kwalifikacyjna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etapy procesu rekrutacji pracowników</w:t>
            </w:r>
          </w:p>
          <w:p>
            <w:pPr>
              <w:pStyle w:val="Akapitzlist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 znaczenie terminu „rozmowa kwalifikacyjna”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bidi w:val="0"/>
              <w:spacing w:before="0" w:after="0"/>
              <w:ind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 znaczenie rozmowy kwalifikacyjnej w procesie rekrutacji</w:t>
            </w:r>
          </w:p>
          <w:p>
            <w:pPr>
              <w:pStyle w:val="Akapitzlist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zasady przygotowania się do rozmowy kwalifikacyjnej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44" w:hanging="4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zasady dobrego zaprezentowania się na rozmowie kwalifikacyjnej</w:t>
            </w:r>
          </w:p>
          <w:p>
            <w:pPr>
              <w:pStyle w:val="Akapitzlist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analizuje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najczęściej zadawane pytania podczas rozmowy kwalifikacyjnej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44" w:hanging="4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>stosuje ró</w:t>
            </w:r>
            <w:r>
              <w:rPr>
                <w:rFonts w:eastAsia="TimesNewRoman;MS Mincho" w:cs="Times New Roman" w:ascii="Times New Roman" w:hAnsi="Times New Roman"/>
              </w:rPr>
              <w:t>ż</w:t>
            </w:r>
            <w:r>
              <w:rPr>
                <w:rFonts w:cs="Times New Roman" w:ascii="Times New Roman" w:hAnsi="Times New Roman"/>
              </w:rPr>
              <w:t>ne formy komunikacji werbalnej i niewerbalnej w celu autoprezentacji oraz prezentacji własnego stanowiska</w:t>
            </w:r>
          </w:p>
          <w:p>
            <w:pPr>
              <w:pStyle w:val="Akapitzlist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uczestniczy w rozmowie kwalifikacyjnej w warunkach symulowanych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left="44" w:hanging="4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90" w:leader="none"/>
              </w:tabs>
              <w:bidi w:val="0"/>
              <w:snapToGrid w:val="false"/>
              <w:spacing w:before="0" w:after="0"/>
              <w:ind w:left="0" w:hanging="0"/>
              <w:jc w:val="center"/>
              <w:rPr>
                <w:rFonts w:ascii="Arial" w:hAnsi="Arial" w:cs="Arial"/>
                <w:b/>
                <w:b/>
                <w:bCs/>
                <w:i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Zatrudnienie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 znaczenie terminów: „kodeks pracy”, „stosunek pracy”, „świadectwo pracy”, „płaca”</w:t>
            </w:r>
          </w:p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rodzaje umów o pracę</w:t>
            </w:r>
          </w:p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>wymienia umowy cywilnoprawne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umowę-</w:t>
              <w:br/>
              <w:t xml:space="preserve">-zlecenie </w:t>
            </w:r>
            <w:r>
              <w:rPr>
                <w:rFonts w:cs="Times New Roman" w:ascii="Times New Roman" w:hAnsi="Times New Roman"/>
              </w:rPr>
              <w:t>i umowę o dzieło)</w:t>
            </w:r>
          </w:p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i omawia funkcje płacy</w:t>
            </w:r>
          </w:p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>wymienia instytucje w Polsce stojące na straży praw pracowniczych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wyjaśnia znaczenie Kodeksu pracy jako podstawowego aktu prawnego regulującego prawa i obowiązki pracowników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cs="Times New Roman" w:ascii="Times New Roman" w:hAnsi="Times New Roman"/>
              </w:rPr>
              <w:t>pracodawców</w:t>
            </w:r>
          </w:p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formy rozwiązania umowy o pracę</w:t>
            </w:r>
          </w:p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>wymienia podstawowe prawa i obowiązki pracownika (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 tym pracownika młodocianego</w:t>
            </w:r>
            <w:r>
              <w:rPr>
                <w:rFonts w:cs="Times New Roman" w:ascii="Times New Roman" w:hAnsi="Times New Roman"/>
              </w:rPr>
              <w:t>) oraz pracodawcy</w:t>
            </w:r>
          </w:p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i charakteryzuje rodzaje płacy (minimalna, netto, brutto)</w:t>
            </w:r>
          </w:p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i charakteryzuje rodzaje systemów płac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i omawia podstawowe zasady prawa pracy</w:t>
            </w:r>
          </w:p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analizuje formy wynagrodzenia wynikające z systemu płac, a następnie wskazuje wady i zalety każdej z nich z punktu widzenia pracownika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oraz </w:t>
            </w:r>
            <w:r>
              <w:rPr>
                <w:rFonts w:cs="Times New Roman" w:ascii="Times New Roman" w:hAnsi="Times New Roman"/>
              </w:rPr>
              <w:t>pracodawcy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44" w:hanging="4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analizuje i interpretuje szczegółowe zapisy prawa pracy</w:t>
            </w:r>
          </w:p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analizuje formy zatrudnienia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na podstawie </w:t>
            </w:r>
            <w:r>
              <w:rPr>
                <w:rFonts w:cs="Times New Roman" w:ascii="Times New Roman" w:hAnsi="Times New Roman"/>
              </w:rPr>
              <w:t>umów cywilnoprawnych, a następnie wskazuje podstawowe cechy odróżniające je od umowy o pracę</w:t>
            </w:r>
          </w:p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analizuje poszczególne rodzaje umów o pracę, a następnie wskazuje ich wady i zalety z punktu widzenia pracownika oraz pracodawcy</w:t>
            </w:r>
          </w:p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oblicza płacę netto</w:t>
            </w:r>
          </w:p>
          <w:p>
            <w:pPr>
              <w:pStyle w:val="Akapitzlist"/>
              <w:widowControl w:val="false"/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stosuje odpowiednie przepisy Kodeksu pracy w zależności od sytuacji problemowej </w:t>
            </w:r>
          </w:p>
        </w:tc>
      </w:tr>
      <w:tr>
        <w:trPr/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90" w:leader="none"/>
              </w:tabs>
              <w:bidi w:val="0"/>
              <w:snapToGrid w:val="false"/>
              <w:spacing w:before="0" w:after="0"/>
              <w:ind w:left="0" w:hanging="0"/>
              <w:jc w:val="center"/>
              <w:rPr>
                <w:rFonts w:ascii="Arial" w:hAnsi="Arial" w:cs="Arial"/>
                <w:b/>
                <w:b/>
                <w:bCs/>
                <w:i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Bezrobocie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wyjaśnia pojęcia: „bezrobocie”, „stopa bezrobocia”, „osoba bezrobotna”, „BAEL”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warunki, które trzeba spełnić, aby otrzymać status bezrobotnego</w:t>
            </w:r>
          </w:p>
          <w:p>
            <w:pPr>
              <w:pStyle w:val="Akapitzlist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charakteryzuje rodzaje bezrobocia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44" w:hanging="4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identyfikuje rodzaje bezrobocia ze względu na przyczynę i formę występowania</w:t>
            </w:r>
          </w:p>
          <w:p>
            <w:pPr>
              <w:pStyle w:val="Akapitzlist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negatywne i pozytywne skutki bezrobocia</w:t>
            </w:r>
          </w:p>
          <w:p>
            <w:pPr>
              <w:pStyle w:val="Akapitzlist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i omawia sposoby walki z bezrobociem (pasywne i aktywne)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44" w:hanging="4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uzasadnia potrzebę aktywnej i efektywnej walki z bezrobociem</w:t>
            </w:r>
          </w:p>
          <w:p>
            <w:pPr>
              <w:pStyle w:val="Akapitzlist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oblicza stopę bezrobocia</w:t>
            </w:r>
          </w:p>
          <w:p>
            <w:pPr>
              <w:pStyle w:val="Akapitzlist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analizuje dane statystyczne dotyczące wielkości i struktury bezrobocia w Polsce</w:t>
            </w:r>
          </w:p>
          <w:p>
            <w:pPr>
              <w:pStyle w:val="Akapitzlist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formułuje wnioski na temat bezrobocia w województwie, w którym mieszka</w:t>
            </w:r>
          </w:p>
          <w:p>
            <w:pPr>
              <w:pStyle w:val="Akapitzlist"/>
              <w:widowControl w:val="false"/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7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proponuje działania mające na celu ograniczenie bezrobocia w miejscu zamieszkania</w:t>
            </w:r>
          </w:p>
        </w:tc>
      </w:tr>
      <w:tr>
        <w:trPr/>
        <w:tc>
          <w:tcPr>
            <w:tcW w:w="1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90" w:leader="none"/>
              </w:tabs>
              <w:bidi w:val="0"/>
              <w:snapToGrid w:val="false"/>
              <w:spacing w:before="0" w:after="0"/>
              <w:ind w:left="0" w:hanging="0"/>
              <w:jc w:val="center"/>
              <w:rPr>
                <w:rFonts w:ascii="Arial" w:hAnsi="Arial" w:cs="Arial"/>
                <w:b/>
                <w:b/>
                <w:bCs/>
                <w:i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/>
                <w:sz w:val="16"/>
                <w:szCs w:val="16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Ubezpieczenia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wyjaśnia, czym jest ubezpieczenie</w:t>
            </w:r>
          </w:p>
          <w:p>
            <w:pPr>
              <w:pStyle w:val="Akapitzlist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 znaczenie terminów: „ubezpieczyciel”, „ubezpieczający”, „ubezpieczony”, „system zabezpieczenia społecznego”, „ubezpieczenia publiczne”, „ubezpieczenia prywatne”, „polisa ubezpieczeniowa”, „karencja”</w:t>
            </w:r>
          </w:p>
          <w:p>
            <w:pPr>
              <w:pStyle w:val="Akapitzlist"/>
              <w:widowControl w:val="false"/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right="-85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>wymienia podstawowe obowiązki ubezpieczonego i ubezpieczyciela</w:t>
            </w:r>
          </w:p>
          <w:p>
            <w:pPr>
              <w:pStyle w:val="Akapitzlist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filary systemu emerytalnego w Polsce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44" w:hanging="4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wymienia i charakteryzuje rodzaje ubezpieczeń wg różnych kryteriów (przedmiotu ubezpieczenia, stopnia swobody w zakresie nawiązania stosunku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ubezpieczenia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Akapitzlist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>charakteryzuje poszczególne filary systemu emerytalnego w Polsce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44" w:hanging="4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>wskazuje zwi</w:t>
            </w:r>
            <w:r>
              <w:rPr>
                <w:rFonts w:eastAsia="TimesNewRoman;MS Mincho" w:cs="Times New Roman" w:ascii="Times New Roman" w:hAnsi="Times New Roman"/>
              </w:rPr>
              <w:t>ą</w:t>
            </w:r>
            <w:r>
              <w:rPr>
                <w:rFonts w:cs="Times New Roman" w:ascii="Times New Roman" w:hAnsi="Times New Roman"/>
              </w:rPr>
              <w:t>zek pomi</w:t>
            </w:r>
            <w:r>
              <w:rPr>
                <w:rFonts w:eastAsia="TimesNewRoman;MS Mincho" w:cs="Times New Roman" w:ascii="Times New Roman" w:hAnsi="Times New Roman"/>
              </w:rPr>
              <w:t>ę</w:t>
            </w:r>
            <w:r>
              <w:rPr>
                <w:rFonts w:cs="Times New Roman" w:ascii="Times New Roman" w:hAnsi="Times New Roman"/>
              </w:rPr>
              <w:t>dzy swoj</w:t>
            </w:r>
            <w:r>
              <w:rPr>
                <w:rFonts w:eastAsia="TimesNewRoman;MS Mincho" w:cs="Times New Roman" w:ascii="Times New Roman" w:hAnsi="Times New Roman"/>
              </w:rPr>
              <w:t xml:space="preserve">ą </w:t>
            </w:r>
            <w:r>
              <w:rPr>
                <w:rFonts w:cs="Times New Roman" w:ascii="Times New Roman" w:hAnsi="Times New Roman"/>
              </w:rPr>
              <w:t>przyszł</w:t>
            </w:r>
            <w:r>
              <w:rPr>
                <w:rFonts w:eastAsia="TimesNewRoman;MS Mincho" w:cs="Times New Roman" w:ascii="Times New Roman" w:hAnsi="Times New Roman"/>
              </w:rPr>
              <w:t xml:space="preserve">ą </w:t>
            </w:r>
            <w:r>
              <w:rPr>
                <w:rFonts w:cs="Times New Roman" w:ascii="Times New Roman" w:hAnsi="Times New Roman"/>
              </w:rPr>
              <w:t>aktywno</w:t>
            </w:r>
            <w:r>
              <w:rPr>
                <w:rFonts w:eastAsia="TimesNewRoman;MS Mincho" w:cs="Times New Roman" w:ascii="Times New Roman" w:hAnsi="Times New Roman"/>
              </w:rPr>
              <w:t>ś</w:t>
            </w:r>
            <w:r>
              <w:rPr>
                <w:rFonts w:cs="Times New Roman" w:ascii="Times New Roman" w:hAnsi="Times New Roman"/>
              </w:rPr>
              <w:t>ci</w:t>
            </w:r>
            <w:r>
              <w:rPr>
                <w:rFonts w:eastAsia="TimesNewRoman;MS Mincho" w:cs="Times New Roman" w:ascii="Times New Roman" w:hAnsi="Times New Roman"/>
              </w:rPr>
              <w:t xml:space="preserve">ą </w:t>
            </w:r>
            <w:r>
              <w:rPr>
                <w:rFonts w:cs="Times New Roman" w:ascii="Times New Roman" w:hAnsi="Times New Roman"/>
              </w:rPr>
              <w:t>zawodow</w:t>
            </w:r>
            <w:r>
              <w:rPr>
                <w:rFonts w:eastAsia="TimesNewRoman;MS Mincho" w:cs="Times New Roman" w:ascii="Times New Roman" w:hAnsi="Times New Roman"/>
              </w:rPr>
              <w:t>ą</w:t>
            </w:r>
            <w:r>
              <w:rPr>
                <w:rFonts w:cs="Times New Roman" w:ascii="Times New Roman" w:hAnsi="Times New Roman"/>
              </w:rPr>
              <w:t xml:space="preserve"> a wysoko</w:t>
            </w:r>
            <w:r>
              <w:rPr>
                <w:rFonts w:eastAsia="TimesNewRoman;MS Mincho" w:cs="Times New Roman" w:ascii="Times New Roman" w:hAnsi="Times New Roman"/>
              </w:rPr>
              <w:t>ś</w:t>
            </w:r>
            <w:r>
              <w:rPr>
                <w:rFonts w:cs="Times New Roman" w:ascii="Times New Roman" w:hAnsi="Times New Roman"/>
              </w:rPr>
              <w:t>ci</w:t>
            </w:r>
            <w:r>
              <w:rPr>
                <w:rFonts w:eastAsia="TimesNewRoman;MS Mincho" w:cs="Times New Roman" w:ascii="Times New Roman" w:hAnsi="Times New Roman"/>
              </w:rPr>
              <w:t xml:space="preserve">ą </w:t>
            </w:r>
            <w:r>
              <w:rPr>
                <w:rFonts w:cs="Times New Roman" w:ascii="Times New Roman" w:hAnsi="Times New Roman"/>
              </w:rPr>
              <w:t>emerytury</w:t>
            </w:r>
          </w:p>
          <w:p>
            <w:pPr>
              <w:pStyle w:val="Akapitzlist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wyjaśnia, jaką rolę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 gospodarce odgrywają fundusze emerytalne</w:t>
            </w:r>
          </w:p>
          <w:p>
            <w:pPr>
              <w:pStyle w:val="Akapitzlist"/>
              <w:widowControl w:val="false"/>
              <w:numPr>
                <w:ilvl w:val="0"/>
                <w:numId w:val="8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omawia rolę Ubezpieczeniowego Funduszu Gwarancyjnego w polskim systemie ubezpieczeń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44" w:hanging="4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1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8"/>
              </w:numPr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podaje różnice między redystrybutywnym a kapitałowym modelem ubezpieczeń społecznych </w:t>
            </w:r>
          </w:p>
        </w:tc>
      </w:tr>
      <w:tr>
        <w:trPr/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90" w:leader="none"/>
              </w:tabs>
              <w:bidi w:val="0"/>
              <w:snapToGrid w:val="false"/>
              <w:spacing w:before="0" w:after="0"/>
              <w:ind w:left="0" w:hanging="0"/>
              <w:jc w:val="center"/>
              <w:rPr>
                <w:rFonts w:ascii="Arial" w:hAnsi="Arial" w:cs="Arial"/>
                <w:b/>
                <w:b/>
                <w:bCs/>
                <w:i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Sytuacja na rynku pracy w UE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swobody wspólnego rynku i charakteryzuje swobodę przepływu osób</w:t>
            </w:r>
          </w:p>
          <w:p>
            <w:pPr>
              <w:pStyle w:val="Akapitzlist"/>
              <w:widowControl w:val="false"/>
              <w:bidi w:val="0"/>
              <w:spacing w:before="0" w:after="0"/>
              <w:ind w:left="214" w:hanging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analizuje stopę bezrobocia wg BAEL w krajach UE i wyciąga wnioski</w:t>
            </w:r>
          </w:p>
          <w:p>
            <w:pPr>
              <w:pStyle w:val="Akapitzlist"/>
              <w:widowControl w:val="false"/>
              <w:numPr>
                <w:ilvl w:val="0"/>
                <w:numId w:val="9"/>
              </w:numPr>
              <w:suppressAutoHyphens w:val="true"/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podaje nazwy krajów UE o najwyższym poziomie bezrobocia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44" w:hanging="44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9"/>
              </w:numPr>
              <w:bidi w:val="0"/>
              <w:spacing w:before="0" w:after="0"/>
              <w:ind w:left="214" w:hanging="214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wymienia przyczyny migracji zarobkowych Polaków </w:t>
            </w:r>
          </w:p>
          <w:p>
            <w:pPr>
              <w:pStyle w:val="Akapitzlist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podaje nazwy państw będących głównym celem emigracji zarobkowej Polaków</w:t>
            </w:r>
          </w:p>
          <w:p>
            <w:pPr>
              <w:pStyle w:val="Akapitzlist"/>
              <w:widowControl w:val="false"/>
              <w:bidi w:val="0"/>
              <w:spacing w:before="0" w:after="0"/>
              <w:ind w:left="214" w:hanging="0"/>
              <w:contextualSpacing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omawia zróżnicowanie warunków pracy i życia w UE (uwzględniając stopę bezrobocia i przeciętne roczne dochody)</w:t>
            </w:r>
          </w:p>
          <w:p>
            <w:pPr>
              <w:pStyle w:val="Akapitzlist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omawia znaczenie gwarancji jednakowych praw w krajach UE</w:t>
            </w:r>
          </w:p>
          <w:p>
            <w:pPr>
              <w:pStyle w:val="Akapitzlist"/>
              <w:widowControl w:val="false"/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Akapitzlist"/>
              <w:widowControl w:val="false"/>
              <w:bidi w:val="0"/>
              <w:spacing w:before="0" w:after="0"/>
              <w:ind w:left="0" w:hanging="0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Akapitzlist"/>
              <w:widowControl w:val="false"/>
              <w:bidi w:val="0"/>
              <w:spacing w:before="0" w:after="0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9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analizuje możliwości zatrudnienia w krajach UE</w:t>
            </w:r>
          </w:p>
          <w:p>
            <w:pPr>
              <w:pStyle w:val="Akapitzlist"/>
              <w:widowControl w:val="false"/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WSPÓŁPRACA MIĘDZYNARODOWA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90" w:leader="none"/>
              </w:tabs>
              <w:bidi w:val="0"/>
              <w:snapToGrid w:val="false"/>
              <w:spacing w:before="0" w:after="0"/>
              <w:ind w:left="0" w:hanging="0"/>
              <w:jc w:val="center"/>
              <w:rPr>
                <w:rFonts w:ascii="Arial" w:hAnsi="Arial" w:cs="Arial"/>
                <w:b/>
                <w:b/>
                <w:bCs/>
                <w:i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Handel zagraniczny. Współpraca gospodarcza Polski z zagranicą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 znaczenie terminów: „handel zagraniczny”, „eksport”, „import”, „bilans handlu zagranicznego”</w:t>
            </w:r>
          </w:p>
          <w:p>
            <w:pPr>
              <w:pStyle w:val="Akapitzlist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bariery ograniczające handel zagraniczny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określa zakres współpracy międzynarodowej</w:t>
            </w:r>
          </w:p>
          <w:p>
            <w:pPr>
              <w:pStyle w:val="Akapitzlist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>wymienia nazwy państw o największym udziale w</w:t>
            </w:r>
            <w:r>
              <w:rPr/>
              <w:t> </w:t>
            </w:r>
            <w:r>
              <w:rPr>
                <w:rFonts w:cs="Times New Roman" w:ascii="Times New Roman" w:hAnsi="Times New Roman"/>
              </w:rPr>
              <w:t>handlu zagranicznym (eksporcie i imporcie)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44" w:hanging="4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omawia znaczenie handlu zagranicznego w gospodarce oraz wymienia korzyści wynikające z wymiany handlowej</w:t>
            </w:r>
          </w:p>
          <w:p>
            <w:pPr>
              <w:pStyle w:val="Akapitzlist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podaje przykłady polskich „hitów eksportowych”</w:t>
            </w:r>
          </w:p>
          <w:p>
            <w:pPr>
              <w:pStyle w:val="Akapitzlist"/>
              <w:widowControl w:val="false"/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0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głównych partnerów handlowych Polski oraz omawia strukturę handlu zagranicznego i jego znaczenie dla naszego kraju</w:t>
            </w:r>
          </w:p>
          <w:p>
            <w:pPr>
              <w:pStyle w:val="Akapitzlist"/>
              <w:widowControl w:val="false"/>
              <w:numPr>
                <w:ilvl w:val="0"/>
                <w:numId w:val="10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analizuje wpływ kursu walut na handel zagraniczny i gospodarkę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10"/>
              </w:numPr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 zjawisko protekcjonizmu państwowego</w:t>
            </w:r>
          </w:p>
        </w:tc>
      </w:tr>
      <w:tr>
        <w:trPr/>
        <w:tc>
          <w:tcPr>
            <w:tcW w:w="13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90" w:leader="none"/>
              </w:tabs>
              <w:bidi w:val="0"/>
              <w:snapToGrid w:val="false"/>
              <w:spacing w:before="0" w:after="0"/>
              <w:ind w:left="0" w:hanging="0"/>
              <w:jc w:val="center"/>
              <w:rPr>
                <w:rFonts w:ascii="Arial" w:hAnsi="Arial" w:cs="Arial"/>
                <w:b/>
                <w:b/>
                <w:bCs/>
                <w:i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Cs/>
                <w:sz w:val="16"/>
                <w:szCs w:val="16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hanging="0"/>
              <w:jc w:val="left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Procesy globalizacji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11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wyjaśnia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pojęcie „globalizacja”</w:t>
            </w:r>
          </w:p>
          <w:p>
            <w:pPr>
              <w:pStyle w:val="Akapitzlist"/>
              <w:widowControl w:val="false"/>
              <w:numPr>
                <w:ilvl w:val="0"/>
                <w:numId w:val="11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wyjaśnia znaczenie terminu „antyglobalista”</w:t>
            </w:r>
          </w:p>
          <w:p>
            <w:pPr>
              <w:pStyle w:val="Akapitzlist"/>
              <w:widowControl w:val="false"/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11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i charakteryzuje płaszczyzny globalizacji</w:t>
            </w:r>
          </w:p>
          <w:p>
            <w:pPr>
              <w:pStyle w:val="Akapitzlist"/>
              <w:widowControl w:val="false"/>
              <w:numPr>
                <w:ilvl w:val="0"/>
                <w:numId w:val="11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główne centra gospodarcze i finansowe świata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44" w:hanging="44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11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omawia rolę globalnych korporacji w rozwoju globalizacji</w:t>
            </w:r>
          </w:p>
          <w:p>
            <w:pPr>
              <w:pStyle w:val="Akapitzlist"/>
              <w:widowControl w:val="false"/>
              <w:numPr>
                <w:ilvl w:val="0"/>
                <w:numId w:val="11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i omawia korzyści i zagrożenia wynikające z globalizacji</w:t>
            </w:r>
          </w:p>
          <w:p>
            <w:pPr>
              <w:pStyle w:val="Akapitzlist"/>
              <w:widowControl w:val="false"/>
              <w:numPr>
                <w:ilvl w:val="0"/>
                <w:numId w:val="11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wymienia i charakteryzuje pozytywne i negatywne skutki globalizacji na poszczególnych jej płaszczyznach</w:t>
            </w:r>
          </w:p>
          <w:p>
            <w:pPr>
              <w:pStyle w:val="Akapitzlist"/>
              <w:widowControl w:val="false"/>
              <w:numPr>
                <w:ilvl w:val="0"/>
                <w:numId w:val="11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Akapitzlist"/>
              <w:widowControl w:val="false"/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11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ocenia wpływ globalizacji na gospodarkę Polski</w:t>
            </w:r>
          </w:p>
          <w:p>
            <w:pPr>
              <w:pStyle w:val="Akapitzlist"/>
              <w:widowControl w:val="false"/>
              <w:numPr>
                <w:ilvl w:val="0"/>
                <w:numId w:val="11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podaje przykłady oddziaływania globalizacji na poziom </w:t>
            </w:r>
            <w:r>
              <w:rPr>
                <w:rFonts w:eastAsia="TimesNewRoman;MS Mincho" w:cs="Times New Roman" w:ascii="Times New Roman" w:hAnsi="Times New Roman"/>
              </w:rPr>
              <w:t>ż</w:t>
            </w:r>
            <w:r>
              <w:rPr>
                <w:rFonts w:cs="Times New Roman" w:ascii="Times New Roman" w:hAnsi="Times New Roman"/>
              </w:rPr>
              <w:t>ycia i model konsumpcji</w:t>
            </w:r>
          </w:p>
          <w:p>
            <w:pPr>
              <w:pStyle w:val="Akapitzlist"/>
              <w:widowControl w:val="false"/>
              <w:numPr>
                <w:ilvl w:val="0"/>
                <w:numId w:val="11"/>
              </w:numPr>
              <w:tabs>
                <w:tab w:val="clear" w:pos="709"/>
                <w:tab w:val="left" w:pos="142" w:leader="none"/>
              </w:tabs>
              <w:bidi w:val="0"/>
              <w:spacing w:lineRule="auto" w:line="240" w:before="0" w:after="0"/>
              <w:ind w:left="142" w:hanging="142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>wyszukuje informacje o</w:t>
            </w:r>
            <w:r>
              <w:rPr/>
              <w:t> </w:t>
            </w:r>
            <w:r>
              <w:rPr>
                <w:rFonts w:cs="Times New Roman" w:ascii="Times New Roman" w:hAnsi="Times New Roman"/>
              </w:rPr>
              <w:t>aktualnych tendencjach i zmianach w gospodarce świata i Polski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Akapitzlist"/>
              <w:widowControl w:val="false"/>
              <w:numPr>
                <w:ilvl w:val="0"/>
                <w:numId w:val="11"/>
              </w:numPr>
              <w:bidi w:val="0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podaje różnicę między antyglobalistami a alterglobalistami </w:t>
            </w:r>
          </w:p>
        </w:tc>
      </w:tr>
    </w:tbl>
    <w:p>
      <w:pPr>
        <w:pStyle w:val="Normal"/>
        <w:bidi w:val="0"/>
        <w:ind w:hanging="0"/>
        <w:jc w:val="center"/>
        <w:rPr>
          <w:rFonts w:eastAsia="Times New Roman"/>
          <w:color w:val="auto"/>
          <w:lang w:val="pl-PL" w:bidi="ar-SA"/>
        </w:rPr>
      </w:pPr>
      <w:r>
        <w:rPr>
          <w:rFonts w:eastAsia="Times New Roman"/>
          <w:color w:val="auto"/>
          <w:lang w:val="pl-PL" w:bidi="ar-SA"/>
        </w:rPr>
      </w:r>
    </w:p>
    <w:p>
      <w:pPr>
        <w:pStyle w:val="Normal"/>
        <w:bidi w:val="0"/>
        <w:ind w:hanging="0"/>
        <w:jc w:val="left"/>
        <w:rPr>
          <w:rFonts w:ascii="Arial" w:hAnsi="Arial" w:cs="Arial"/>
          <w:sz w:val="28"/>
          <w:szCs w:val="28"/>
        </w:rPr>
      </w:pPr>
      <w:r>
        <w:rPr>
          <w:rFonts w:eastAsia="Times New Roman" w:cs="Arial" w:ascii="Arial" w:hAnsi="Arial"/>
          <w:color w:val="auto"/>
          <w:sz w:val="28"/>
          <w:szCs w:val="28"/>
          <w:lang w:val="pl-PL" w:bidi="ar-SA"/>
        </w:rPr>
        <w:t>Kryteria oceny są zgodne z kryteriami określonymi w statucie szkoły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ind w:hanging="0"/>
      <w:jc w:val="center"/>
      <w:outlineLvl w:val="3"/>
    </w:pPr>
    <w:rPr>
      <w:b/>
      <w:bCs/>
    </w:rPr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42z0">
    <w:name w:val="WW8Num42z0"/>
    <w:qFormat/>
    <w:rPr>
      <w:rFonts w:ascii="Symbol" w:hAnsi="Symbol" w:cs="Symbol"/>
      <w:sz w:val="20"/>
      <w:szCs w:val="20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kapitzlist">
    <w:name w:val="Akapit z listą"/>
    <w:basedOn w:val="Normal"/>
    <w:qFormat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Calibri"/>
      <w:sz w:val="22"/>
      <w:szCs w:val="22"/>
    </w:rPr>
  </w:style>
  <w:style w:type="paragraph" w:styleId="Tekstwstpniesformatowany">
    <w:name w:val="Tekst wstępnie sformatowany"/>
    <w:basedOn w:val="Normal"/>
    <w:qFormat/>
    <w:pPr>
      <w:widowControl w:val="false"/>
      <w:suppressAutoHyphens w:val="true"/>
      <w:spacing w:before="0" w:after="0"/>
      <w:ind w:hanging="0"/>
      <w:jc w:val="left"/>
    </w:pPr>
    <w:rPr>
      <w:sz w:val="20"/>
      <w:szCs w:val="20"/>
    </w:rPr>
  </w:style>
  <w:style w:type="numbering" w:styleId="WW8Num32">
    <w:name w:val="WW8Num32"/>
    <w:qFormat/>
  </w:style>
  <w:style w:type="numbering" w:styleId="WW8Num18">
    <w:name w:val="WW8Num18"/>
    <w:qFormat/>
  </w:style>
  <w:style w:type="numbering" w:styleId="WW8Num22">
    <w:name w:val="WW8Num22"/>
    <w:qFormat/>
  </w:style>
  <w:style w:type="numbering" w:styleId="WW8Num39">
    <w:name w:val="WW8Num39"/>
    <w:qFormat/>
  </w:style>
  <w:style w:type="numbering" w:styleId="WW8Num10">
    <w:name w:val="WW8Num10"/>
    <w:qFormat/>
  </w:style>
  <w:style w:type="numbering" w:styleId="WW8Num38">
    <w:name w:val="WW8Num38"/>
    <w:qFormat/>
  </w:style>
  <w:style w:type="numbering" w:styleId="WW8Num37">
    <w:name w:val="WW8Num37"/>
    <w:qFormat/>
  </w:style>
  <w:style w:type="numbering" w:styleId="WW8Num29">
    <w:name w:val="WW8Num29"/>
    <w:qFormat/>
  </w:style>
  <w:style w:type="numbering" w:styleId="WW8Num24">
    <w:name w:val="WW8Num24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20">
    <w:name w:val="WW8Num20"/>
    <w:qFormat/>
  </w:style>
  <w:style w:type="numbering" w:styleId="WW8Num19">
    <w:name w:val="WW8Num19"/>
    <w:qFormat/>
  </w:style>
  <w:style w:type="numbering" w:styleId="WW8Num5">
    <w:name w:val="WW8Num5"/>
    <w:qFormat/>
  </w:style>
  <w:style w:type="numbering" w:styleId="WW8Num40">
    <w:name w:val="WW8Num40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28">
    <w:name w:val="WW8Num28"/>
    <w:qFormat/>
  </w:style>
  <w:style w:type="numbering" w:styleId="WW8Num13">
    <w:name w:val="WW8Num13"/>
    <w:qFormat/>
  </w:style>
  <w:style w:type="numbering" w:styleId="WW8Num41">
    <w:name w:val="WW8Num41"/>
    <w:qFormat/>
  </w:style>
  <w:style w:type="numbering" w:styleId="WW8Num4">
    <w:name w:val="WW8Num4"/>
    <w:qFormat/>
  </w:style>
  <w:style w:type="numbering" w:styleId="WW8Num34">
    <w:name w:val="WW8Num34"/>
    <w:qFormat/>
  </w:style>
  <w:style w:type="numbering" w:styleId="WW8Num9">
    <w:name w:val="WW8Num9"/>
    <w:qFormat/>
  </w:style>
  <w:style w:type="numbering" w:styleId="WW8Num36">
    <w:name w:val="WW8Num36"/>
    <w:qFormat/>
  </w:style>
  <w:style w:type="numbering" w:styleId="WW8Num7">
    <w:name w:val="WW8Num7"/>
    <w:qFormat/>
  </w:style>
  <w:style w:type="numbering" w:styleId="WW8Num17">
    <w:name w:val="WW8Num17"/>
    <w:qFormat/>
  </w:style>
  <w:style w:type="numbering" w:styleId="WW8Num12">
    <w:name w:val="WW8Num12"/>
    <w:qFormat/>
  </w:style>
  <w:style w:type="numbering" w:styleId="WW8Num31">
    <w:name w:val="WW8Num31"/>
    <w:qFormat/>
  </w:style>
  <w:style w:type="numbering" w:styleId="WW8Num35">
    <w:name w:val="WW8Num35"/>
    <w:qFormat/>
  </w:style>
  <w:style w:type="numbering" w:styleId="WW8Num6">
    <w:name w:val="WW8Num6"/>
    <w:qFormat/>
  </w:style>
  <w:style w:type="numbering" w:styleId="WW8Num27">
    <w:name w:val="WW8Num27"/>
    <w:qFormat/>
  </w:style>
  <w:style w:type="numbering" w:styleId="WW8Num30">
    <w:name w:val="WW8Num30"/>
    <w:qFormat/>
  </w:style>
  <w:style w:type="numbering" w:styleId="WW8Num11">
    <w:name w:val="WW8Num11"/>
    <w:qFormat/>
  </w:style>
  <w:style w:type="numbering" w:styleId="WW8Num25">
    <w:name w:val="WW8Num25"/>
    <w:qFormat/>
  </w:style>
  <w:style w:type="numbering" w:styleId="WW8Num21">
    <w:name w:val="WW8Num21"/>
    <w:qFormat/>
  </w:style>
  <w:style w:type="numbering" w:styleId="WW8Num26">
    <w:name w:val="WW8Num26"/>
    <w:qFormat/>
  </w:style>
  <w:style w:type="numbering" w:styleId="WW8Num16">
    <w:name w:val="WW8Num16"/>
    <w:qFormat/>
  </w:style>
  <w:style w:type="numbering" w:styleId="WW8Num8">
    <w:name w:val="WW8Num8"/>
    <w:qFormat/>
  </w:style>
  <w:style w:type="numbering" w:styleId="WW8Num23">
    <w:name w:val="WW8Num23"/>
    <w:qFormat/>
  </w:style>
  <w:style w:type="numbering" w:styleId="WW8Num42">
    <w:name w:val="WW8Num4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LibreOffice/7.1.3.2$Windows_X86_64 LibreOffice_project/47f78053abe362b9384784d31a6e56f8511eb1c1</Application>
  <AppVersion>15.0000</AppVersion>
  <Pages>4</Pages>
  <Words>995</Words>
  <Characters>6525</Characters>
  <CharactersWithSpaces>7308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2021-09-22T21:35:58Z</dcterms:created>
  <dc:creator/>
  <dc:description/>
  <dc:language>pl-PL</dc:language>
  <cp:lastModifiedBy/>
  <cp:lastPrinted>2021-09-23T16:05:51Z</cp:lastPrinted>
  <dcterms:modified xsi:type="dcterms:W3CDTF">2021-09-23T16:20:32Z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