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549" w:rsidRPr="00CA3123" w:rsidRDefault="008F0549" w:rsidP="008F05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123">
        <w:rPr>
          <w:rFonts w:ascii="Times New Roman" w:hAnsi="Times New Roman" w:cs="Times New Roman"/>
          <w:b/>
          <w:sz w:val="24"/>
          <w:szCs w:val="24"/>
        </w:rPr>
        <w:t>Wymagania edukacyjne</w:t>
      </w:r>
      <w:r w:rsidR="00757B54" w:rsidRPr="00CA3123">
        <w:rPr>
          <w:rFonts w:ascii="Times New Roman" w:hAnsi="Times New Roman" w:cs="Times New Roman"/>
          <w:b/>
          <w:sz w:val="24"/>
          <w:szCs w:val="24"/>
        </w:rPr>
        <w:t xml:space="preserve"> dla klas kształcących się w zawodzie TECHNIK EKONOMISTA</w:t>
      </w:r>
    </w:p>
    <w:p w:rsidR="008F0549" w:rsidRPr="00CA3123" w:rsidRDefault="008F0549" w:rsidP="00757B54">
      <w:pPr>
        <w:rPr>
          <w:rFonts w:ascii="Times New Roman" w:hAnsi="Times New Roman" w:cs="Times New Roman"/>
          <w:sz w:val="24"/>
          <w:szCs w:val="24"/>
        </w:rPr>
      </w:pPr>
      <w:r w:rsidRPr="00CA3123">
        <w:rPr>
          <w:rFonts w:ascii="Times New Roman" w:hAnsi="Times New Roman" w:cs="Times New Roman"/>
          <w:sz w:val="24"/>
          <w:szCs w:val="24"/>
        </w:rPr>
        <w:t xml:space="preserve">KLASA III </w:t>
      </w:r>
    </w:p>
    <w:p w:rsidR="008F0549" w:rsidRPr="00CA3123" w:rsidRDefault="008F0549" w:rsidP="00757B54">
      <w:pPr>
        <w:rPr>
          <w:rFonts w:ascii="Times New Roman" w:hAnsi="Times New Roman" w:cs="Times New Roman"/>
          <w:sz w:val="24"/>
          <w:szCs w:val="24"/>
        </w:rPr>
      </w:pPr>
      <w:r w:rsidRPr="00CA3123">
        <w:rPr>
          <w:rFonts w:ascii="Times New Roman" w:hAnsi="Times New Roman" w:cs="Times New Roman"/>
          <w:sz w:val="24"/>
          <w:szCs w:val="24"/>
        </w:rPr>
        <w:t xml:space="preserve">przedmiot: </w:t>
      </w:r>
      <w:r w:rsidR="00E4264D" w:rsidRPr="00CA3123">
        <w:rPr>
          <w:rFonts w:ascii="Times New Roman" w:hAnsi="Times New Roman" w:cs="Times New Roman"/>
          <w:b/>
          <w:sz w:val="24"/>
          <w:szCs w:val="24"/>
          <w:u w:val="single"/>
        </w:rPr>
        <w:t>GOSPODAROWANIE ZASOBAMI PRZEDSIĘBIORSTWA</w:t>
      </w:r>
    </w:p>
    <w:p w:rsidR="008F0549" w:rsidRPr="00CA3123" w:rsidRDefault="008F0549" w:rsidP="008F0549">
      <w:pPr>
        <w:rPr>
          <w:rFonts w:ascii="Times New Roman" w:hAnsi="Times New Roman" w:cs="Times New Roman"/>
          <w:sz w:val="24"/>
          <w:szCs w:val="24"/>
        </w:rPr>
      </w:pPr>
      <w:r w:rsidRPr="00CA3123">
        <w:rPr>
          <w:rFonts w:ascii="Times New Roman" w:hAnsi="Times New Roman" w:cs="Times New Roman"/>
          <w:sz w:val="24"/>
          <w:szCs w:val="24"/>
        </w:rPr>
        <w:t>Nr p</w:t>
      </w:r>
      <w:r w:rsidR="003B0BF4">
        <w:rPr>
          <w:rFonts w:ascii="Times New Roman" w:hAnsi="Times New Roman" w:cs="Times New Roman"/>
          <w:sz w:val="24"/>
          <w:szCs w:val="24"/>
        </w:rPr>
        <w:t>rogramu nauczania ZSE-TE-331403</w:t>
      </w:r>
      <w:r w:rsidRPr="00CA3123">
        <w:rPr>
          <w:rFonts w:ascii="Times New Roman" w:hAnsi="Times New Roman" w:cs="Times New Roman"/>
          <w:sz w:val="24"/>
          <w:szCs w:val="24"/>
        </w:rPr>
        <w:t xml:space="preserve">-2019 </w:t>
      </w:r>
    </w:p>
    <w:p w:rsidR="008F0549" w:rsidRPr="00CA3123" w:rsidRDefault="008F0549" w:rsidP="008F0549">
      <w:pPr>
        <w:rPr>
          <w:rFonts w:ascii="Times New Roman" w:hAnsi="Times New Roman" w:cs="Times New Roman"/>
          <w:sz w:val="24"/>
          <w:szCs w:val="24"/>
        </w:rPr>
      </w:pPr>
      <w:r w:rsidRPr="00CA3123">
        <w:rPr>
          <w:rFonts w:ascii="Times New Roman" w:hAnsi="Times New Roman" w:cs="Times New Roman"/>
          <w:sz w:val="24"/>
          <w:szCs w:val="24"/>
        </w:rPr>
        <w:t>Nazwa programu: Program nauczania dla zawodu Technik ekonomista</w:t>
      </w:r>
    </w:p>
    <w:p w:rsidR="008F0549" w:rsidRPr="00CA3123" w:rsidRDefault="008F0549" w:rsidP="008F0549">
      <w:pPr>
        <w:rPr>
          <w:rFonts w:ascii="Times New Roman" w:hAnsi="Times New Roman" w:cs="Times New Roman"/>
          <w:sz w:val="24"/>
          <w:szCs w:val="24"/>
        </w:rPr>
      </w:pPr>
      <w:r w:rsidRPr="00CA3123">
        <w:rPr>
          <w:rFonts w:ascii="Times New Roman" w:hAnsi="Times New Roman" w:cs="Times New Roman"/>
          <w:sz w:val="24"/>
          <w:szCs w:val="24"/>
        </w:rPr>
        <w:t xml:space="preserve">Nauczyciel : </w:t>
      </w:r>
      <w:r w:rsidR="00B24D1A">
        <w:rPr>
          <w:rFonts w:ascii="Times New Roman" w:hAnsi="Times New Roman" w:cs="Times New Roman"/>
          <w:sz w:val="24"/>
          <w:szCs w:val="24"/>
        </w:rPr>
        <w:t xml:space="preserve">mgr </w:t>
      </w:r>
      <w:r w:rsidRPr="00CA3123">
        <w:rPr>
          <w:rFonts w:ascii="Times New Roman" w:hAnsi="Times New Roman" w:cs="Times New Roman"/>
          <w:sz w:val="24"/>
          <w:szCs w:val="24"/>
        </w:rPr>
        <w:t>Wiesława Lech</w:t>
      </w:r>
    </w:p>
    <w:tbl>
      <w:tblPr>
        <w:tblStyle w:val="Tabela-Siatka"/>
        <w:tblW w:w="0" w:type="auto"/>
        <w:tblLayout w:type="fixed"/>
        <w:tblLook w:val="04A0"/>
      </w:tblPr>
      <w:tblGrid>
        <w:gridCol w:w="2757"/>
        <w:gridCol w:w="2770"/>
        <w:gridCol w:w="2786"/>
        <w:gridCol w:w="2852"/>
        <w:gridCol w:w="3055"/>
      </w:tblGrid>
      <w:tr w:rsidR="00757B54" w:rsidRPr="00757B54" w:rsidTr="005D6B59">
        <w:tc>
          <w:tcPr>
            <w:tcW w:w="14220" w:type="dxa"/>
            <w:gridSpan w:val="5"/>
          </w:tcPr>
          <w:p w:rsidR="00757B54" w:rsidRPr="00757B54" w:rsidRDefault="00757B54" w:rsidP="00757B54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Wymagania na poszczególne oceny</w:t>
            </w:r>
          </w:p>
        </w:tc>
      </w:tr>
      <w:tr w:rsidR="00757B54" w:rsidRPr="00757B54" w:rsidTr="00992E6B">
        <w:tc>
          <w:tcPr>
            <w:tcW w:w="2757" w:type="dxa"/>
          </w:tcPr>
          <w:p w:rsidR="00757B54" w:rsidRPr="00757B54" w:rsidRDefault="00757B54" w:rsidP="00757B54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757B54" w:rsidRPr="00757B54" w:rsidRDefault="00757B54" w:rsidP="00757B54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dopuszczająca (2)</w:t>
            </w:r>
          </w:p>
        </w:tc>
        <w:tc>
          <w:tcPr>
            <w:tcW w:w="2770" w:type="dxa"/>
          </w:tcPr>
          <w:p w:rsidR="00757B54" w:rsidRPr="00757B54" w:rsidRDefault="00757B54" w:rsidP="00757B54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757B54" w:rsidRPr="00757B54" w:rsidRDefault="00757B54" w:rsidP="00757B54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dostateczna (3)</w:t>
            </w:r>
          </w:p>
        </w:tc>
        <w:tc>
          <w:tcPr>
            <w:tcW w:w="2786" w:type="dxa"/>
          </w:tcPr>
          <w:p w:rsidR="00757B54" w:rsidRPr="00757B54" w:rsidRDefault="00757B54" w:rsidP="00757B54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757B54" w:rsidRPr="00757B54" w:rsidRDefault="00757B54" w:rsidP="00757B54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dobra (4)</w:t>
            </w:r>
          </w:p>
        </w:tc>
        <w:tc>
          <w:tcPr>
            <w:tcW w:w="2852" w:type="dxa"/>
          </w:tcPr>
          <w:p w:rsidR="00757B54" w:rsidRPr="00757B54" w:rsidRDefault="00757B54" w:rsidP="00757B54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757B54" w:rsidRPr="00757B54" w:rsidRDefault="00757B54" w:rsidP="00757B54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bardzo dobra (5)</w:t>
            </w:r>
          </w:p>
        </w:tc>
        <w:tc>
          <w:tcPr>
            <w:tcW w:w="3055" w:type="dxa"/>
          </w:tcPr>
          <w:p w:rsidR="00757B54" w:rsidRPr="00757B54" w:rsidRDefault="00757B54" w:rsidP="00757B54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757B54" w:rsidRPr="00757B54" w:rsidRDefault="00757B54" w:rsidP="00757B54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celująca (6)</w:t>
            </w:r>
          </w:p>
        </w:tc>
      </w:tr>
      <w:tr w:rsidR="00757B54" w:rsidRPr="00757B54" w:rsidTr="00992E6B">
        <w:tc>
          <w:tcPr>
            <w:tcW w:w="2757" w:type="dxa"/>
          </w:tcPr>
          <w:p w:rsidR="00757B54" w:rsidRPr="00757B54" w:rsidRDefault="00757B54" w:rsidP="00DA4F0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Uczeń:</w:t>
            </w:r>
          </w:p>
        </w:tc>
        <w:tc>
          <w:tcPr>
            <w:tcW w:w="2770" w:type="dxa"/>
          </w:tcPr>
          <w:p w:rsidR="00757B54" w:rsidRPr="00757B54" w:rsidRDefault="00757B54" w:rsidP="000D09C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786" w:type="dxa"/>
          </w:tcPr>
          <w:p w:rsidR="00757B54" w:rsidRPr="00757B54" w:rsidRDefault="00757B54" w:rsidP="00992E6B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852" w:type="dxa"/>
          </w:tcPr>
          <w:p w:rsidR="00757B54" w:rsidRPr="00757B54" w:rsidRDefault="00757B54" w:rsidP="00992E6B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055" w:type="dxa"/>
          </w:tcPr>
          <w:p w:rsidR="00757B54" w:rsidRPr="00757B54" w:rsidRDefault="00757B54" w:rsidP="00992E6B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757B54" w:rsidRPr="00757B54" w:rsidTr="00062937">
        <w:tc>
          <w:tcPr>
            <w:tcW w:w="14220" w:type="dxa"/>
            <w:gridSpan w:val="5"/>
          </w:tcPr>
          <w:p w:rsidR="00757B54" w:rsidRPr="00757B54" w:rsidRDefault="00757B54" w:rsidP="00992E6B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I. </w:t>
            </w:r>
            <w:r w:rsidR="00B86EDD"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ZASOBY LUDZKIE</w:t>
            </w:r>
          </w:p>
        </w:tc>
      </w:tr>
      <w:tr w:rsidR="00757B54" w:rsidRPr="00757B54" w:rsidTr="00992E6B">
        <w:tc>
          <w:tcPr>
            <w:tcW w:w="2757" w:type="dxa"/>
          </w:tcPr>
          <w:p w:rsidR="00757B54" w:rsidRPr="00757B54" w:rsidRDefault="00757B54" w:rsidP="00DC1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 xml:space="preserve">•wymienia sposoby nawiązania i rozwiązania stosunku pracy </w:t>
            </w:r>
          </w:p>
          <w:p w:rsidR="00757B54" w:rsidRPr="00757B54" w:rsidRDefault="00757B54" w:rsidP="000D0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•zna  zasady ustalania, wypłaty i ochrony wynagrodzenia za świadczoną pracę</w:t>
            </w:r>
          </w:p>
          <w:p w:rsidR="00757B54" w:rsidRPr="00757B54" w:rsidRDefault="00757B54" w:rsidP="00DC1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 xml:space="preserve">•wymienia  prawa i obowiązki pracodawcy i pracownika </w:t>
            </w:r>
          </w:p>
          <w:p w:rsidR="00757B54" w:rsidRPr="00757B54" w:rsidRDefault="00757B54" w:rsidP="00DC1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•zna zasady rozliczania czasu pracy pracownika</w:t>
            </w:r>
          </w:p>
          <w:p w:rsidR="00757B54" w:rsidRPr="00757B54" w:rsidRDefault="00757B54" w:rsidP="00992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•zna umowy cywilnoprawne związane z pracą</w:t>
            </w:r>
          </w:p>
          <w:p w:rsidR="00757B54" w:rsidRPr="00757B54" w:rsidRDefault="00757B54" w:rsidP="00992E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dxa"/>
          </w:tcPr>
          <w:p w:rsidR="00757B54" w:rsidRPr="00757B54" w:rsidRDefault="00757B54" w:rsidP="000D0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 określa sposoby nawiązania i rozwiązania stosunku pracy z osobą pełnoletnią i młodocianym</w:t>
            </w:r>
          </w:p>
          <w:p w:rsidR="00757B54" w:rsidRPr="00757B54" w:rsidRDefault="00757B54" w:rsidP="000D0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 określa zasady ustalania, wypłaty i ochrony wynagrodzenia za świadczoną pracę oraz przyznawania pracownikowi innych świadczeń ze stosunku pracy</w:t>
            </w:r>
          </w:p>
          <w:p w:rsidR="00757B54" w:rsidRPr="00757B54" w:rsidRDefault="00757B54" w:rsidP="000D0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 xml:space="preserve">• określa prawa i obowiązki pracodawcy i pracownika </w:t>
            </w:r>
          </w:p>
          <w:p w:rsidR="00757B54" w:rsidRPr="00757B54" w:rsidRDefault="00757B54" w:rsidP="000D0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•rozróżnia  zasady rozliczania czasu pracy pracownika</w:t>
            </w:r>
          </w:p>
          <w:p w:rsidR="00757B54" w:rsidRPr="00757B54" w:rsidRDefault="00757B54" w:rsidP="00992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 omawia uprawnienia pracownicze związane z rodzicielstwem</w:t>
            </w:r>
          </w:p>
          <w:p w:rsidR="00757B54" w:rsidRPr="00757B54" w:rsidRDefault="00757B54" w:rsidP="000D0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proofErr w:type="spellStart"/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proofErr w:type="spellEnd"/>
            <w:r w:rsidRPr="00757B54">
              <w:rPr>
                <w:rFonts w:ascii="Times New Roman" w:hAnsi="Times New Roman" w:cs="Times New Roman"/>
                <w:sz w:val="20"/>
                <w:szCs w:val="20"/>
              </w:rPr>
              <w:t xml:space="preserve"> wskazuje obowiązki pracodawcy w zakresie ochrony danych osobowych pracownika</w:t>
            </w:r>
          </w:p>
        </w:tc>
        <w:tc>
          <w:tcPr>
            <w:tcW w:w="2786" w:type="dxa"/>
          </w:tcPr>
          <w:p w:rsidR="00757B54" w:rsidRPr="00757B54" w:rsidRDefault="00757B54" w:rsidP="00992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 określa metody i etapy procesu rekrutacji pracowników</w:t>
            </w:r>
          </w:p>
          <w:p w:rsidR="00757B54" w:rsidRPr="00757B54" w:rsidRDefault="00757B54" w:rsidP="00992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 rozumie przepisy dotyczące nawiązania stosunku pracy</w:t>
            </w:r>
          </w:p>
          <w:p w:rsidR="00757B54" w:rsidRPr="00757B54" w:rsidRDefault="00757B54" w:rsidP="000D0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 rozumie przepisy dotyczące umów cywilnoprawnych</w:t>
            </w:r>
          </w:p>
          <w:p w:rsidR="00757B54" w:rsidRPr="00757B54" w:rsidRDefault="00757B54" w:rsidP="00992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•stosuje przepisy prawa dotyczące udzielania urlopów, np. urlopu wypoczynkowego, urlopu okolicznościowego</w:t>
            </w:r>
          </w:p>
          <w:p w:rsidR="00757B54" w:rsidRPr="00757B54" w:rsidRDefault="00757B54" w:rsidP="000D0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•zna  sposoby postępowania w przypadku niedopełnienia obowiązków wynikających ze stosunku pracy przez pracownika i pracodawcę</w:t>
            </w:r>
          </w:p>
          <w:p w:rsidR="00757B54" w:rsidRPr="00757B54" w:rsidRDefault="00757B54" w:rsidP="00992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•zna  terminy przechowywania dokumentacji pracowniczej</w:t>
            </w:r>
          </w:p>
          <w:p w:rsidR="00757B54" w:rsidRPr="00757B54" w:rsidRDefault="00757B54" w:rsidP="000D09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</w:tcPr>
          <w:p w:rsidR="00757B54" w:rsidRPr="00757B54" w:rsidRDefault="00757B54" w:rsidP="00992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  rozumie przepisy dotyczące nawiązania stosunku pracy</w:t>
            </w:r>
          </w:p>
          <w:p w:rsidR="00757B54" w:rsidRPr="00757B54" w:rsidRDefault="00757B54" w:rsidP="00992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 rozumie przepisy dotyczące nawiązania stosunku pracy</w:t>
            </w:r>
          </w:p>
          <w:p w:rsidR="00757B54" w:rsidRPr="00757B54" w:rsidRDefault="00757B54" w:rsidP="00992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•stosuje przepisy dotyczące umów cywilnoprawnych</w:t>
            </w:r>
          </w:p>
          <w:p w:rsidR="00757B54" w:rsidRPr="00757B54" w:rsidRDefault="00757B54" w:rsidP="00992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•stosuje przepisy prawa dotyczące udzielania urlopów, np. urlopu wypoczynkowego, urlopu okolicznościowego</w:t>
            </w:r>
          </w:p>
          <w:p w:rsidR="00757B54" w:rsidRPr="00757B54" w:rsidRDefault="00757B54" w:rsidP="000D0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 stosuje zasady wynikające z różnych systemów rozliczania czasu pracy</w:t>
            </w:r>
          </w:p>
          <w:p w:rsidR="00757B54" w:rsidRPr="00757B54" w:rsidRDefault="00757B54" w:rsidP="00992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 rozpoznaje sposoby postępowania w przypadku niedopełnienia obowiązków wynikających ze stosunku pracy przez pracownika i pracodawcę</w:t>
            </w:r>
          </w:p>
          <w:p w:rsidR="00757B54" w:rsidRPr="00757B54" w:rsidRDefault="00757B54" w:rsidP="00992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 identyfikuje terminy przechowywania dokumentacji pracowniczej</w:t>
            </w:r>
          </w:p>
        </w:tc>
        <w:tc>
          <w:tcPr>
            <w:tcW w:w="3055" w:type="dxa"/>
          </w:tcPr>
          <w:p w:rsidR="00757B54" w:rsidRPr="00757B54" w:rsidRDefault="00757B54" w:rsidP="00992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 redaguje ogłoszenia rekrutacyjne, np. do zamieszczenia w prasie, w aplikacjach multimedialnych</w:t>
            </w:r>
          </w:p>
          <w:p w:rsidR="00757B54" w:rsidRPr="00757B54" w:rsidRDefault="00757B54" w:rsidP="00992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 xml:space="preserve">• sprawdza formalnie dokumenty kandydata na pracownika zgromadzone w związku z ubieganiem się przez niego o zatrudnienie </w:t>
            </w:r>
          </w:p>
          <w:p w:rsidR="00757B54" w:rsidRPr="00757B54" w:rsidRDefault="00757B54" w:rsidP="000D0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 wybiera kandydata na pracownika na podstawie analizy dokumentów aplikacyjnych</w:t>
            </w:r>
          </w:p>
        </w:tc>
      </w:tr>
      <w:tr w:rsidR="00757B54" w:rsidRPr="00757B54" w:rsidTr="00992E6B">
        <w:tc>
          <w:tcPr>
            <w:tcW w:w="2757" w:type="dxa"/>
          </w:tcPr>
          <w:p w:rsidR="00757B54" w:rsidRPr="00757B54" w:rsidRDefault="00757B54" w:rsidP="00DB74F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</w:t>
            </w: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ab/>
              <w:t>definiuje pojęcie struktury zatrudnienia i płynności kadr</w:t>
            </w:r>
          </w:p>
          <w:p w:rsidR="00757B54" w:rsidRPr="00757B54" w:rsidRDefault="00757B54" w:rsidP="00DB74F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•</w:t>
            </w:r>
            <w:r w:rsidRPr="00757B5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ab/>
              <w:t>wymienia wskaźniki struktury zatrudnienia</w:t>
            </w:r>
          </w:p>
          <w:p w:rsidR="00757B54" w:rsidRPr="00757B54" w:rsidRDefault="00757B54" w:rsidP="00DB74F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•</w:t>
            </w:r>
            <w:r w:rsidRPr="00757B5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ab/>
              <w:t>wymienia wskaźniki płynności</w:t>
            </w: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 xml:space="preserve"> kadr</w:t>
            </w:r>
          </w:p>
        </w:tc>
        <w:tc>
          <w:tcPr>
            <w:tcW w:w="2770" w:type="dxa"/>
          </w:tcPr>
          <w:p w:rsidR="00757B54" w:rsidRPr="00757B54" w:rsidRDefault="00757B54" w:rsidP="00DB74F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wyjaśnia cel mierzenia struktury zatrudnienia </w:t>
            </w:r>
            <w:r w:rsidRPr="00757B54">
              <w:rPr>
                <w:rFonts w:ascii="Times New Roman" w:hAnsi="Times New Roman" w:cs="Times New Roman"/>
                <w:sz w:val="20"/>
                <w:szCs w:val="20"/>
              </w:rPr>
              <w:br/>
              <w:t>i płynności kadr</w:t>
            </w:r>
          </w:p>
        </w:tc>
        <w:tc>
          <w:tcPr>
            <w:tcW w:w="2786" w:type="dxa"/>
          </w:tcPr>
          <w:p w:rsidR="00757B54" w:rsidRPr="00757B54" w:rsidRDefault="00757B54" w:rsidP="00DB74F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•</w:t>
            </w:r>
            <w:r w:rsidRPr="00757B5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ab/>
              <w:t>oblicza średnie stany zatrudnienia i ocenia strukturę zatrudnienia w przedsiębiorstwie</w:t>
            </w:r>
          </w:p>
          <w:p w:rsidR="00757B54" w:rsidRPr="00757B54" w:rsidRDefault="00757B54" w:rsidP="00DB74F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ab/>
              <w:t>oblicza i ocenia płynność kadr</w:t>
            </w:r>
          </w:p>
        </w:tc>
        <w:tc>
          <w:tcPr>
            <w:tcW w:w="2852" w:type="dxa"/>
          </w:tcPr>
          <w:p w:rsidR="00757B54" w:rsidRPr="00757B54" w:rsidRDefault="00757B54" w:rsidP="00DB74F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dokonuje analizy wskaźników struktury zatrudnienia i płynności kadr oraz formułuje wnioski w zakresie efektywności </w:t>
            </w:r>
            <w:r w:rsidRPr="00757B5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zarządzania zasobami </w:t>
            </w: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ludzkimi</w:t>
            </w:r>
          </w:p>
          <w:p w:rsidR="00757B54" w:rsidRPr="00757B54" w:rsidRDefault="00757B54" w:rsidP="00992E6B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5" w:type="dxa"/>
          </w:tcPr>
          <w:p w:rsidR="00757B54" w:rsidRPr="00757B54" w:rsidRDefault="00757B54" w:rsidP="000D0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 xml:space="preserve">spełnia wymagania na ocenę bardzo dobrą </w:t>
            </w:r>
          </w:p>
          <w:p w:rsidR="00757B54" w:rsidRPr="00757B54" w:rsidRDefault="00757B54" w:rsidP="000D0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a ponadto:</w:t>
            </w:r>
          </w:p>
          <w:p w:rsidR="00757B54" w:rsidRPr="00757B54" w:rsidRDefault="00757B54" w:rsidP="000D0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 stosuje arkusz kalkulacyjny do obliczeń i analiz, prezentacji wskaźników oraz do tworzenia bazy danych pracowników</w:t>
            </w:r>
          </w:p>
        </w:tc>
      </w:tr>
      <w:tr w:rsidR="00757B54" w:rsidRPr="00757B54" w:rsidTr="00992E6B">
        <w:tc>
          <w:tcPr>
            <w:tcW w:w="2757" w:type="dxa"/>
          </w:tcPr>
          <w:p w:rsidR="00757B54" w:rsidRPr="00757B54" w:rsidRDefault="00757B54" w:rsidP="00403196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color w:val="024DA1"/>
                <w:sz w:val="20"/>
                <w:szCs w:val="20"/>
              </w:rPr>
              <w:t>•</w:t>
            </w:r>
            <w:r w:rsidRPr="00757B54">
              <w:rPr>
                <w:rFonts w:ascii="Times New Roman" w:hAnsi="Times New Roman" w:cs="Times New Roman"/>
                <w:color w:val="024DA1"/>
                <w:sz w:val="20"/>
                <w:szCs w:val="20"/>
              </w:rPr>
              <w:tab/>
            </w:r>
            <w:r w:rsidRPr="00757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definiuje pojęcie wydajności pracy i pracochłonności produkcji</w:t>
            </w:r>
          </w:p>
          <w:p w:rsidR="00757B54" w:rsidRPr="00757B54" w:rsidRDefault="00757B54" w:rsidP="00403196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color w:val="024DA1"/>
                <w:sz w:val="20"/>
                <w:szCs w:val="20"/>
              </w:rPr>
              <w:t>•</w:t>
            </w:r>
            <w:r w:rsidRPr="00757B54">
              <w:rPr>
                <w:rFonts w:ascii="Times New Roman" w:hAnsi="Times New Roman" w:cs="Times New Roman"/>
                <w:color w:val="024DA1"/>
                <w:sz w:val="20"/>
                <w:szCs w:val="20"/>
              </w:rPr>
              <w:tab/>
            </w:r>
            <w:r w:rsidRPr="00757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identyfikuje czynniki wpływające na wydajność pracy</w:t>
            </w:r>
          </w:p>
        </w:tc>
        <w:tc>
          <w:tcPr>
            <w:tcW w:w="2770" w:type="dxa"/>
          </w:tcPr>
          <w:p w:rsidR="00757B54" w:rsidRPr="00757B54" w:rsidRDefault="00757B54" w:rsidP="00403196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color w:val="024DA1"/>
                <w:sz w:val="20"/>
                <w:szCs w:val="20"/>
              </w:rPr>
              <w:t>•</w:t>
            </w:r>
            <w:r w:rsidRPr="00757B54">
              <w:rPr>
                <w:rFonts w:ascii="Times New Roman" w:hAnsi="Times New Roman" w:cs="Times New Roman"/>
                <w:color w:val="024DA1"/>
                <w:sz w:val="20"/>
                <w:szCs w:val="20"/>
              </w:rPr>
              <w:tab/>
            </w:r>
            <w:r w:rsidRPr="00757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wyjaśnia cel mierzenia wydajności pracy i pracochłonności produkcji</w:t>
            </w:r>
          </w:p>
        </w:tc>
        <w:tc>
          <w:tcPr>
            <w:tcW w:w="2786" w:type="dxa"/>
          </w:tcPr>
          <w:p w:rsidR="00757B54" w:rsidRPr="00757B54" w:rsidRDefault="00757B54" w:rsidP="00403196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color w:val="024DA1"/>
                <w:sz w:val="20"/>
                <w:szCs w:val="20"/>
              </w:rPr>
              <w:t>•</w:t>
            </w:r>
            <w:r w:rsidRPr="00757B54">
              <w:rPr>
                <w:rFonts w:ascii="Times New Roman" w:hAnsi="Times New Roman" w:cs="Times New Roman"/>
                <w:color w:val="024DA1"/>
                <w:sz w:val="20"/>
                <w:szCs w:val="20"/>
              </w:rPr>
              <w:tab/>
            </w:r>
            <w:r w:rsidRPr="00757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oblicza wydajność pracy </w:t>
            </w:r>
            <w:r w:rsidRPr="00757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i pracochłonność produkcji</w:t>
            </w:r>
          </w:p>
          <w:p w:rsidR="00757B54" w:rsidRPr="00757B54" w:rsidRDefault="00757B54" w:rsidP="00403196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color w:val="024DA1"/>
                <w:sz w:val="20"/>
                <w:szCs w:val="20"/>
              </w:rPr>
              <w:t>•</w:t>
            </w:r>
            <w:r w:rsidRPr="00757B54">
              <w:rPr>
                <w:rFonts w:ascii="Times New Roman" w:hAnsi="Times New Roman" w:cs="Times New Roman"/>
                <w:color w:val="024DA1"/>
                <w:sz w:val="20"/>
                <w:szCs w:val="20"/>
              </w:rPr>
              <w:tab/>
            </w:r>
            <w:r w:rsidRPr="00757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charakteryzuje czynniki wpływające na wzrost wydajności pracy</w:t>
            </w:r>
          </w:p>
          <w:p w:rsidR="00757B54" w:rsidRPr="00757B54" w:rsidRDefault="00757B54" w:rsidP="00403196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color w:val="024DA1"/>
                <w:sz w:val="20"/>
                <w:szCs w:val="20"/>
              </w:rPr>
              <w:t>•</w:t>
            </w:r>
            <w:r w:rsidRPr="00757B54">
              <w:rPr>
                <w:rFonts w:ascii="Times New Roman" w:hAnsi="Times New Roman" w:cs="Times New Roman"/>
                <w:color w:val="024DA1"/>
                <w:sz w:val="20"/>
                <w:szCs w:val="20"/>
              </w:rPr>
              <w:tab/>
            </w:r>
            <w:r w:rsidRPr="00757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ocenia stopień wykorzystania czasu pracy</w:t>
            </w:r>
          </w:p>
        </w:tc>
        <w:tc>
          <w:tcPr>
            <w:tcW w:w="2852" w:type="dxa"/>
          </w:tcPr>
          <w:p w:rsidR="00757B54" w:rsidRPr="00757B54" w:rsidRDefault="00757B54" w:rsidP="00992E6B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color w:val="024DA1"/>
                <w:sz w:val="20"/>
                <w:szCs w:val="20"/>
              </w:rPr>
              <w:t>•</w:t>
            </w:r>
            <w:r w:rsidRPr="00757B54">
              <w:rPr>
                <w:rFonts w:ascii="Times New Roman" w:hAnsi="Times New Roman" w:cs="Times New Roman"/>
                <w:color w:val="024DA1"/>
                <w:sz w:val="20"/>
                <w:szCs w:val="20"/>
              </w:rPr>
              <w:tab/>
            </w:r>
            <w:r w:rsidRPr="00757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dokonuje analizy wskaźników wydajności pracy i pracochłonności produkcji oraz formułuje wnioski w zakresie efek</w:t>
            </w:r>
            <w:r w:rsidRPr="00757B5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tywności zarządzania </w:t>
            </w:r>
            <w:r w:rsidRPr="00757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zasobami ludzkimi</w:t>
            </w:r>
          </w:p>
        </w:tc>
        <w:tc>
          <w:tcPr>
            <w:tcW w:w="3055" w:type="dxa"/>
          </w:tcPr>
          <w:p w:rsidR="00757B54" w:rsidRPr="00757B54" w:rsidRDefault="00757B54" w:rsidP="00992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 xml:space="preserve">spełnia wymagania na ocenę bardzo dobrą </w:t>
            </w:r>
          </w:p>
          <w:p w:rsidR="00757B54" w:rsidRPr="00757B54" w:rsidRDefault="00757B54" w:rsidP="00992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a ponadto:</w:t>
            </w:r>
          </w:p>
          <w:p w:rsidR="00757B54" w:rsidRPr="00757B54" w:rsidRDefault="00757B54" w:rsidP="000D0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757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stosuje arkusz kalkulacyjny do obliczeń i analiz, prezentacji wskaźników oraz do tworzenia bazy danych pracowników</w:t>
            </w:r>
          </w:p>
        </w:tc>
      </w:tr>
      <w:tr w:rsidR="00757B54" w:rsidRPr="00757B54" w:rsidTr="00FB7CC1">
        <w:tc>
          <w:tcPr>
            <w:tcW w:w="14220" w:type="dxa"/>
            <w:gridSpan w:val="5"/>
          </w:tcPr>
          <w:p w:rsidR="00757B54" w:rsidRPr="00757B54" w:rsidRDefault="00757B54" w:rsidP="000D09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II. </w:t>
            </w:r>
            <w:r w:rsidR="00B86EDD"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ZASOBY FINANSOWE I WSPÓŁPRACA Z BANKIEM</w:t>
            </w:r>
          </w:p>
        </w:tc>
      </w:tr>
      <w:tr w:rsidR="00757B54" w:rsidRPr="00757B54" w:rsidTr="00992E6B">
        <w:tc>
          <w:tcPr>
            <w:tcW w:w="2757" w:type="dxa"/>
          </w:tcPr>
          <w:p w:rsidR="00757B54" w:rsidRPr="00757B54" w:rsidRDefault="00757B54" w:rsidP="000D0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 wymienia źródła finansowania zasobów</w:t>
            </w:r>
          </w:p>
          <w:p w:rsidR="00757B54" w:rsidRPr="00757B54" w:rsidRDefault="00757B54" w:rsidP="0037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•zna formy rozliczeń gotówkowych i bezgotówkowych</w:t>
            </w:r>
          </w:p>
          <w:p w:rsidR="00757B54" w:rsidRPr="00757B54" w:rsidRDefault="00757B54" w:rsidP="000D0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•zna pojecie weksla i rodzaje weksli</w:t>
            </w:r>
          </w:p>
          <w:p w:rsidR="00757B54" w:rsidRPr="00757B54" w:rsidRDefault="00757B54" w:rsidP="000D0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•wymienia rodzaje rachunków bankowych</w:t>
            </w:r>
          </w:p>
          <w:p w:rsidR="00757B54" w:rsidRPr="00757B54" w:rsidRDefault="00757B54" w:rsidP="00AC1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 wymienia rodzaje kredytów bankowych</w:t>
            </w:r>
          </w:p>
          <w:p w:rsidR="00757B54" w:rsidRPr="00757B54" w:rsidRDefault="00757B54" w:rsidP="00AC1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•definiuje operacje bankowe</w:t>
            </w:r>
          </w:p>
          <w:p w:rsidR="00757B54" w:rsidRPr="00757B54" w:rsidRDefault="00757B54" w:rsidP="000D09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dxa"/>
          </w:tcPr>
          <w:p w:rsidR="00757B54" w:rsidRPr="00757B54" w:rsidRDefault="00757B54" w:rsidP="0037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 xml:space="preserve">•charakteryzuje  źródła finansowania zasobów </w:t>
            </w:r>
          </w:p>
          <w:p w:rsidR="00757B54" w:rsidRPr="00757B54" w:rsidRDefault="00757B54" w:rsidP="0037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 charakteryzuje  formy rozliczeń gotówkowych i bezgotówkowych</w:t>
            </w:r>
          </w:p>
          <w:p w:rsidR="00757B54" w:rsidRPr="00757B54" w:rsidRDefault="00757B54" w:rsidP="0037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•wskazuje  rodzaje weksli i rozumie pojęcia z obrotu wekslowego</w:t>
            </w:r>
          </w:p>
          <w:p w:rsidR="00757B54" w:rsidRPr="00757B54" w:rsidRDefault="00757B54" w:rsidP="0037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•rozróżnia rodzaje rachunków bankowych</w:t>
            </w:r>
          </w:p>
          <w:p w:rsidR="00757B54" w:rsidRPr="00757B54" w:rsidRDefault="00757B54" w:rsidP="00371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 charakteryzuje pojęcia:  usługa factoringu, usługa forfaitingu, usługa udzielenia gwarancji przez bank</w:t>
            </w:r>
          </w:p>
          <w:p w:rsidR="00757B54" w:rsidRPr="00757B54" w:rsidRDefault="00757B54" w:rsidP="00AC1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•klasyfikuje kredyty bankowe</w:t>
            </w:r>
          </w:p>
          <w:p w:rsidR="00757B54" w:rsidRPr="00757B54" w:rsidRDefault="00757B54" w:rsidP="00AC1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•wymienia rodzaje operacji bankowych</w:t>
            </w:r>
          </w:p>
          <w:p w:rsidR="00757B54" w:rsidRPr="00757B54" w:rsidRDefault="00757B54" w:rsidP="00AC19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B54" w:rsidRPr="00757B54" w:rsidRDefault="00757B54" w:rsidP="00992E6B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57B54" w:rsidRPr="00757B54" w:rsidRDefault="00757B54" w:rsidP="000D0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 xml:space="preserve">•rozróżnia źródła finansowania zasobów </w:t>
            </w:r>
          </w:p>
          <w:p w:rsidR="00757B54" w:rsidRPr="00757B54" w:rsidRDefault="00757B54" w:rsidP="000D0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 rozróżnia formy rozliczeń gotówkowych i bezgotówkowych</w:t>
            </w:r>
          </w:p>
          <w:p w:rsidR="00757B54" w:rsidRPr="00757B54" w:rsidRDefault="00757B54" w:rsidP="000D0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•rozróżnia rodzaje weksli i pojęcia z obrotu wekslowego</w:t>
            </w:r>
          </w:p>
          <w:p w:rsidR="00757B54" w:rsidRPr="00757B54" w:rsidRDefault="00757B54" w:rsidP="000D0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•rozróżnia rodzaje rachunków bankowych</w:t>
            </w:r>
          </w:p>
          <w:p w:rsidR="00757B54" w:rsidRPr="00757B54" w:rsidRDefault="00757B54" w:rsidP="000D0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 charakteryzuje pojęcia:  usługa factoringu, usługa forfaitingu, usługa udzielenia gwarancji przez bank</w:t>
            </w:r>
          </w:p>
          <w:p w:rsidR="00757B54" w:rsidRPr="00757B54" w:rsidRDefault="00757B54" w:rsidP="000D0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•rozróżnia rodzaje kredytów bankowych</w:t>
            </w:r>
          </w:p>
          <w:p w:rsidR="00757B54" w:rsidRPr="00757B54" w:rsidRDefault="00757B54" w:rsidP="00AC1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 omawia operacje powodujące zmiany na rachunkach bankowych</w:t>
            </w:r>
          </w:p>
        </w:tc>
        <w:tc>
          <w:tcPr>
            <w:tcW w:w="2852" w:type="dxa"/>
          </w:tcPr>
          <w:p w:rsidR="00757B54" w:rsidRPr="00757B54" w:rsidRDefault="00757B54" w:rsidP="000D0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•wskazuje źródła finansowania zasobów w jednostkach o różnych formach prawnych</w:t>
            </w:r>
          </w:p>
          <w:p w:rsidR="00757B54" w:rsidRPr="00757B54" w:rsidRDefault="00757B54" w:rsidP="00AC1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 charakteryzuje formy rozliczeń gotówkowych i bezgotówkowych</w:t>
            </w:r>
          </w:p>
          <w:p w:rsidR="00757B54" w:rsidRPr="00757B54" w:rsidRDefault="00757B54" w:rsidP="00AC1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•rozróżnia rodzaje weksli i pojęcia z obrotu wekslowego</w:t>
            </w:r>
          </w:p>
          <w:p w:rsidR="00757B54" w:rsidRPr="00757B54" w:rsidRDefault="00757B54" w:rsidP="00AC1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•rozróżnia rodzaje rachunków bankowych</w:t>
            </w:r>
          </w:p>
          <w:p w:rsidR="00757B54" w:rsidRPr="00757B54" w:rsidRDefault="00757B54" w:rsidP="00AC1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 charakteryzuje pojęcia:  usługa factoringu, usługa forfaitingu, usługa udzielenia gwarancji przez bank</w:t>
            </w:r>
          </w:p>
          <w:p w:rsidR="00757B54" w:rsidRPr="00757B54" w:rsidRDefault="00757B54" w:rsidP="00AC1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•rozróżnia rodzaje kredytów bankowych</w:t>
            </w:r>
          </w:p>
          <w:p w:rsidR="00757B54" w:rsidRPr="00757B54" w:rsidRDefault="00757B54" w:rsidP="00AC1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określa operacje powodujące zmiany na rachunkach bankowych na podstawie wyciągu bankowego</w:t>
            </w:r>
          </w:p>
        </w:tc>
        <w:tc>
          <w:tcPr>
            <w:tcW w:w="3055" w:type="dxa"/>
          </w:tcPr>
          <w:p w:rsidR="00757B54" w:rsidRPr="00757B54" w:rsidRDefault="00757B54" w:rsidP="00AC1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 xml:space="preserve">spełnia wymagania na ocenę bardzo dobrą </w:t>
            </w:r>
          </w:p>
          <w:p w:rsidR="00757B54" w:rsidRPr="00757B54" w:rsidRDefault="00757B54" w:rsidP="000D0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•identyfikuje formę organizacyjno prawną jednostki na podstawie nazw kapitałów</w:t>
            </w:r>
          </w:p>
          <w:p w:rsidR="00757B54" w:rsidRPr="00757B54" w:rsidRDefault="00757B54" w:rsidP="000D0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 uzasadnia dobór formy rozliczenia finansowego do konkretnej sytuacji gospodarczej</w:t>
            </w:r>
          </w:p>
          <w:p w:rsidR="00757B54" w:rsidRPr="00757B54" w:rsidRDefault="00757B54" w:rsidP="000D0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sz w:val="20"/>
                <w:szCs w:val="20"/>
              </w:rPr>
              <w:t>• interpretuje zapisy na wyciągu bankowym</w:t>
            </w:r>
          </w:p>
        </w:tc>
      </w:tr>
    </w:tbl>
    <w:p w:rsidR="00AC1972" w:rsidRPr="002F22EC" w:rsidRDefault="00AC1972" w:rsidP="00AC1972">
      <w:pPr>
        <w:rPr>
          <w:rFonts w:ascii="Times New Roman" w:hAnsi="Times New Roman" w:cs="Times New Roman"/>
          <w:b/>
          <w:sz w:val="24"/>
          <w:szCs w:val="20"/>
        </w:rPr>
      </w:pPr>
      <w:r w:rsidRPr="002F22EC">
        <w:rPr>
          <w:rFonts w:ascii="Times New Roman" w:hAnsi="Times New Roman" w:cs="Times New Roman"/>
          <w:b/>
          <w:sz w:val="24"/>
          <w:szCs w:val="20"/>
        </w:rPr>
        <w:t>Kryteria oceniania z przedmiotu  są zgodne ze statutem szkoły. Ocena końcowa jest oceną wystawianą przez nauczyciela.</w:t>
      </w:r>
    </w:p>
    <w:p w:rsidR="0067659A" w:rsidRDefault="0067659A"/>
    <w:sectPr w:rsidR="0067659A" w:rsidSect="00534A65">
      <w:pgSz w:w="16838" w:h="11906" w:orient="landscape"/>
      <w:pgMar w:top="1417" w:right="124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20DE6"/>
    <w:multiLevelType w:val="hybridMultilevel"/>
    <w:tmpl w:val="E266FDF4"/>
    <w:lvl w:ilvl="0" w:tplc="9E084A32">
      <w:numFmt w:val="bullet"/>
      <w:lvlText w:val="•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62B88"/>
    <w:multiLevelType w:val="hybridMultilevel"/>
    <w:tmpl w:val="5C3CB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86AF8"/>
    <w:multiLevelType w:val="hybridMultilevel"/>
    <w:tmpl w:val="1248BF76"/>
    <w:lvl w:ilvl="0" w:tplc="FEB4F4B2">
      <w:numFmt w:val="bullet"/>
      <w:lvlText w:val="•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57FA6"/>
    <w:multiLevelType w:val="hybridMultilevel"/>
    <w:tmpl w:val="9CFE5A42"/>
    <w:lvl w:ilvl="0" w:tplc="9E084A32">
      <w:numFmt w:val="bullet"/>
      <w:lvlText w:val="•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D67608"/>
    <w:multiLevelType w:val="hybridMultilevel"/>
    <w:tmpl w:val="D20A6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D86DDB"/>
    <w:multiLevelType w:val="hybridMultilevel"/>
    <w:tmpl w:val="BC909322"/>
    <w:lvl w:ilvl="0" w:tplc="5016D136">
      <w:numFmt w:val="bullet"/>
      <w:lvlText w:val="•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7659A"/>
    <w:rsid w:val="00054C75"/>
    <w:rsid w:val="000751F1"/>
    <w:rsid w:val="000B1569"/>
    <w:rsid w:val="001321B9"/>
    <w:rsid w:val="00183381"/>
    <w:rsid w:val="0019210A"/>
    <w:rsid w:val="001F24C2"/>
    <w:rsid w:val="002F22EC"/>
    <w:rsid w:val="00371242"/>
    <w:rsid w:val="003B0BF4"/>
    <w:rsid w:val="003F2975"/>
    <w:rsid w:val="00506A05"/>
    <w:rsid w:val="00534A65"/>
    <w:rsid w:val="0067659A"/>
    <w:rsid w:val="00757B54"/>
    <w:rsid w:val="008F0549"/>
    <w:rsid w:val="00992E6B"/>
    <w:rsid w:val="009D3B14"/>
    <w:rsid w:val="00A225BA"/>
    <w:rsid w:val="00AC1972"/>
    <w:rsid w:val="00B24D1A"/>
    <w:rsid w:val="00B86EDD"/>
    <w:rsid w:val="00B92F9A"/>
    <w:rsid w:val="00BA2FDD"/>
    <w:rsid w:val="00BB3F0C"/>
    <w:rsid w:val="00CA3123"/>
    <w:rsid w:val="00D41CE9"/>
    <w:rsid w:val="00DA4F0A"/>
    <w:rsid w:val="00DC1557"/>
    <w:rsid w:val="00DC2B62"/>
    <w:rsid w:val="00DE0DF8"/>
    <w:rsid w:val="00E42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5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65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 w prog,List Paragraph,ORE MYŚLNIKI,Kolorowa lista — akcent 11"/>
    <w:basedOn w:val="Normalny"/>
    <w:link w:val="AkapitzlistZnak"/>
    <w:uiPriority w:val="34"/>
    <w:qFormat/>
    <w:rsid w:val="00DC1557"/>
    <w:pPr>
      <w:ind w:left="720"/>
      <w:contextualSpacing/>
    </w:pPr>
  </w:style>
  <w:style w:type="character" w:customStyle="1" w:styleId="AkapitzlistZnak">
    <w:name w:val="Akapit z listą Znak"/>
    <w:aliases w:val="N w prog Znak,List Paragraph Znak,ORE MYŚLNIKI Znak,Kolorowa lista — akcent 11 Znak"/>
    <w:link w:val="Akapitzlist"/>
    <w:uiPriority w:val="34"/>
    <w:qFormat/>
    <w:locked/>
    <w:rsid w:val="00DC15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814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ToJa</dc:creator>
  <cp:lastModifiedBy>admin</cp:lastModifiedBy>
  <cp:revision>19</cp:revision>
  <dcterms:created xsi:type="dcterms:W3CDTF">2021-09-28T18:36:00Z</dcterms:created>
  <dcterms:modified xsi:type="dcterms:W3CDTF">2021-10-09T13:55:00Z</dcterms:modified>
</cp:coreProperties>
</file>