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CA" w:rsidRPr="003E2FCA" w:rsidRDefault="003E2FCA" w:rsidP="003E2FCA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E2FCA">
        <w:rPr>
          <w:rFonts w:ascii="Times New Roman" w:hAnsi="Times New Roman" w:cs="Times New Roman"/>
          <w:b/>
          <w:sz w:val="24"/>
          <w:szCs w:val="20"/>
        </w:rPr>
        <w:t>Wymagania edukacyjne dla klas kształcących się w zawodzie TECHNIK EKONOMISTA</w:t>
      </w:r>
    </w:p>
    <w:p w:rsidR="003E2FCA" w:rsidRDefault="00650E37" w:rsidP="003E2FCA">
      <w:pPr>
        <w:rPr>
          <w:rFonts w:ascii="Times New Roman" w:hAnsi="Times New Roman" w:cs="Times New Roman"/>
          <w:b/>
          <w:sz w:val="24"/>
          <w:szCs w:val="20"/>
        </w:rPr>
      </w:pPr>
      <w:r w:rsidRPr="003E2FCA">
        <w:rPr>
          <w:rFonts w:ascii="Times New Roman" w:hAnsi="Times New Roman" w:cs="Times New Roman"/>
          <w:b/>
          <w:sz w:val="24"/>
          <w:szCs w:val="20"/>
        </w:rPr>
        <w:t xml:space="preserve">KLASA III </w:t>
      </w:r>
    </w:p>
    <w:p w:rsidR="00650E37" w:rsidRPr="003E2FCA" w:rsidRDefault="00650E37" w:rsidP="003E2FCA">
      <w:pPr>
        <w:rPr>
          <w:rFonts w:ascii="Times New Roman" w:hAnsi="Times New Roman" w:cs="Times New Roman"/>
          <w:b/>
          <w:sz w:val="24"/>
          <w:szCs w:val="20"/>
        </w:rPr>
      </w:pPr>
      <w:r w:rsidRPr="003E2FCA">
        <w:rPr>
          <w:rFonts w:ascii="Times New Roman" w:hAnsi="Times New Roman" w:cs="Times New Roman"/>
          <w:sz w:val="24"/>
          <w:szCs w:val="20"/>
        </w:rPr>
        <w:t>przedmiot:</w:t>
      </w:r>
      <w:r w:rsidRPr="003E2FC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3E2FCA" w:rsidRPr="003E2FCA">
        <w:rPr>
          <w:rFonts w:ascii="Times New Roman" w:hAnsi="Times New Roman" w:cs="Times New Roman"/>
          <w:b/>
          <w:sz w:val="24"/>
          <w:szCs w:val="20"/>
          <w:u w:val="single"/>
        </w:rPr>
        <w:t>GOSPODARKA FINANSOWA</w:t>
      </w:r>
    </w:p>
    <w:p w:rsidR="00650E37" w:rsidRPr="003E2FCA" w:rsidRDefault="00650E37" w:rsidP="00650E37">
      <w:pPr>
        <w:rPr>
          <w:rFonts w:ascii="Times New Roman" w:hAnsi="Times New Roman" w:cs="Times New Roman"/>
          <w:sz w:val="24"/>
          <w:szCs w:val="20"/>
        </w:rPr>
      </w:pPr>
      <w:r w:rsidRPr="003E2FCA">
        <w:rPr>
          <w:rFonts w:ascii="Times New Roman" w:hAnsi="Times New Roman" w:cs="Times New Roman"/>
          <w:sz w:val="24"/>
          <w:szCs w:val="20"/>
        </w:rPr>
        <w:t>Nr programu nauczania ZSE-TE-331403-2019</w:t>
      </w:r>
    </w:p>
    <w:p w:rsidR="00650E37" w:rsidRPr="003E2FCA" w:rsidRDefault="00650E37" w:rsidP="00650E37">
      <w:pPr>
        <w:rPr>
          <w:rFonts w:ascii="Times New Roman" w:hAnsi="Times New Roman" w:cs="Times New Roman"/>
          <w:sz w:val="24"/>
          <w:szCs w:val="20"/>
        </w:rPr>
      </w:pPr>
      <w:r w:rsidRPr="003E2FCA">
        <w:rPr>
          <w:rFonts w:ascii="Times New Roman" w:hAnsi="Times New Roman" w:cs="Times New Roman"/>
          <w:sz w:val="24"/>
          <w:szCs w:val="20"/>
        </w:rPr>
        <w:t>Nazwa programu: Program nauczania dla zawodu Technik ekonomista</w:t>
      </w:r>
    </w:p>
    <w:p w:rsidR="00650E37" w:rsidRPr="003E2FCA" w:rsidRDefault="00650E37" w:rsidP="003E2FCA">
      <w:pPr>
        <w:rPr>
          <w:rFonts w:ascii="Times New Roman" w:hAnsi="Times New Roman" w:cs="Times New Roman"/>
          <w:sz w:val="24"/>
          <w:szCs w:val="20"/>
        </w:rPr>
      </w:pPr>
      <w:r w:rsidRPr="003E2FCA">
        <w:rPr>
          <w:rFonts w:ascii="Times New Roman" w:hAnsi="Times New Roman" w:cs="Times New Roman"/>
          <w:sz w:val="24"/>
          <w:szCs w:val="20"/>
        </w:rPr>
        <w:t xml:space="preserve">Nauczyciel : </w:t>
      </w:r>
      <w:r w:rsidR="003E2FCA">
        <w:rPr>
          <w:rFonts w:ascii="Times New Roman" w:hAnsi="Times New Roman" w:cs="Times New Roman"/>
          <w:sz w:val="24"/>
          <w:szCs w:val="20"/>
        </w:rPr>
        <w:t xml:space="preserve">mgr </w:t>
      </w:r>
      <w:r w:rsidRPr="003E2FCA">
        <w:rPr>
          <w:rFonts w:ascii="Times New Roman" w:hAnsi="Times New Roman" w:cs="Times New Roman"/>
          <w:sz w:val="24"/>
          <w:szCs w:val="20"/>
        </w:rPr>
        <w:t>Wiesława Lech</w:t>
      </w:r>
    </w:p>
    <w:tbl>
      <w:tblPr>
        <w:tblStyle w:val="Tabela-Siatka"/>
        <w:tblW w:w="14567" w:type="dxa"/>
        <w:tblLayout w:type="fixed"/>
        <w:tblLook w:val="04A0"/>
      </w:tblPr>
      <w:tblGrid>
        <w:gridCol w:w="2802"/>
        <w:gridCol w:w="141"/>
        <w:gridCol w:w="3119"/>
        <w:gridCol w:w="2835"/>
        <w:gridCol w:w="283"/>
        <w:gridCol w:w="2694"/>
        <w:gridCol w:w="708"/>
        <w:gridCol w:w="1985"/>
      </w:tblGrid>
      <w:tr w:rsidR="003E2FCA" w:rsidRPr="003E2FCA" w:rsidTr="00596A2A">
        <w:tc>
          <w:tcPr>
            <w:tcW w:w="14567" w:type="dxa"/>
            <w:gridSpan w:val="8"/>
          </w:tcPr>
          <w:p w:rsidR="003E2FCA" w:rsidRPr="003E2FCA" w:rsidRDefault="00E72DA7" w:rsidP="00E7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E72DA7" w:rsidRPr="003E2FCA" w:rsidTr="00E72DA7">
        <w:tc>
          <w:tcPr>
            <w:tcW w:w="2802" w:type="dxa"/>
          </w:tcPr>
          <w:p w:rsidR="00E72DA7" w:rsidRPr="00757B54" w:rsidRDefault="00E72DA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E72DA7" w:rsidRPr="00757B54" w:rsidRDefault="00E72DA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3260" w:type="dxa"/>
            <w:gridSpan w:val="2"/>
          </w:tcPr>
          <w:p w:rsidR="00E72DA7" w:rsidRPr="00757B54" w:rsidRDefault="00E72DA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E72DA7" w:rsidRPr="00757B54" w:rsidRDefault="00E72DA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835" w:type="dxa"/>
          </w:tcPr>
          <w:p w:rsidR="00E72DA7" w:rsidRPr="00757B54" w:rsidRDefault="00E72DA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E72DA7" w:rsidRPr="00757B54" w:rsidRDefault="00E72DA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977" w:type="dxa"/>
            <w:gridSpan w:val="2"/>
          </w:tcPr>
          <w:p w:rsidR="00E72DA7" w:rsidRPr="00757B54" w:rsidRDefault="00E72DA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E72DA7" w:rsidRPr="00757B54" w:rsidRDefault="00E72DA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2693" w:type="dxa"/>
            <w:gridSpan w:val="2"/>
          </w:tcPr>
          <w:p w:rsidR="00E72DA7" w:rsidRPr="00757B54" w:rsidRDefault="00E72DA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E72DA7" w:rsidRPr="00757B54" w:rsidRDefault="00E72DA7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650E37" w:rsidRPr="003E2FCA" w:rsidTr="00650E37">
        <w:tc>
          <w:tcPr>
            <w:tcW w:w="14567" w:type="dxa"/>
            <w:gridSpan w:val="8"/>
          </w:tcPr>
          <w:p w:rsidR="00650E37" w:rsidRPr="003E2FCA" w:rsidRDefault="0052466F" w:rsidP="008C5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  <w:r w:rsidR="00650E37" w:rsidRPr="003E2F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0E37" w:rsidRPr="003E2FCA" w:rsidTr="00650E37">
        <w:tc>
          <w:tcPr>
            <w:tcW w:w="14567" w:type="dxa"/>
            <w:gridSpan w:val="8"/>
          </w:tcPr>
          <w:p w:rsidR="00650E37" w:rsidRPr="003E2FCA" w:rsidRDefault="00E72DA7" w:rsidP="008C5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DA7">
              <w:rPr>
                <w:rFonts w:ascii="Times New Roman" w:hAnsi="Times New Roman" w:cs="Times New Roman"/>
                <w:b/>
                <w:sz w:val="24"/>
                <w:szCs w:val="20"/>
              </w:rPr>
              <w:t>I. ROZLICZENIA Z KONTRAHENTAMI</w:t>
            </w:r>
          </w:p>
        </w:tc>
      </w:tr>
      <w:tr w:rsidR="00650E37" w:rsidRPr="003E2FCA" w:rsidTr="00E72DA7">
        <w:tc>
          <w:tcPr>
            <w:tcW w:w="2802" w:type="dxa"/>
          </w:tcPr>
          <w:p w:rsidR="00650E37" w:rsidRPr="003E2FCA" w:rsidRDefault="00650E37" w:rsidP="008C5A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bCs/>
                <w:sz w:val="20"/>
                <w:szCs w:val="20"/>
              </w:rPr>
              <w:t>-wymienia formy rozliczeń gotówkowych i bezgotówkowych</w:t>
            </w:r>
          </w:p>
          <w:p w:rsidR="0052466F" w:rsidRPr="003E2FCA" w:rsidRDefault="0052466F" w:rsidP="005246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-zna zasady obliczania odsetek za opóźnienie w transakcjach handlowych</w:t>
            </w:r>
          </w:p>
          <w:p w:rsidR="0052466F" w:rsidRPr="003E2FCA" w:rsidRDefault="0052466F" w:rsidP="005246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 xml:space="preserve">-wymienia rodzaje weksli </w:t>
            </w:r>
          </w:p>
          <w:p w:rsidR="0052466F" w:rsidRPr="003E2FCA" w:rsidRDefault="0052466F" w:rsidP="005246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-zna pojęcia z obrotu wekslowego</w:t>
            </w:r>
          </w:p>
          <w:p w:rsidR="0052466F" w:rsidRPr="003E2FCA" w:rsidRDefault="0052466F" w:rsidP="005246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-na zasady obliczania kosztów i przychodów wynikających z wekslowych rozliczeń z kontrahentami</w:t>
            </w:r>
          </w:p>
          <w:p w:rsidR="0052466F" w:rsidRPr="003E2FCA" w:rsidRDefault="0052466F" w:rsidP="005246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-zna pojęcie dyskonta z tytułu wykupu przez bank weksla przed terminem płatności</w:t>
            </w:r>
          </w:p>
          <w:p w:rsidR="0052466F" w:rsidRPr="003E2FCA" w:rsidRDefault="0052466F" w:rsidP="008C5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650E37" w:rsidRPr="003E2FCA" w:rsidRDefault="00650E37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-rozróżnia formy rozliczeń gotówkowych i bezgotówkowych</w:t>
            </w:r>
          </w:p>
          <w:p w:rsidR="0052466F" w:rsidRPr="003E2FCA" w:rsidRDefault="0052466F" w:rsidP="005246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-charakteryzuje koszty i przychody wynikające z transakcji z kontrahentami krajowymi</w:t>
            </w:r>
          </w:p>
          <w:p w:rsidR="0052466F" w:rsidRPr="003E2FCA" w:rsidRDefault="0052466F" w:rsidP="005246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-definiuje odsetki za opóźnienie w transakcjach handlowych</w:t>
            </w:r>
          </w:p>
          <w:p w:rsidR="0052466F" w:rsidRPr="003E2FCA" w:rsidRDefault="0052466F" w:rsidP="005246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-rozróżnia rodzaje weksli i pojęcia z obrotu wekslowego</w:t>
            </w:r>
          </w:p>
          <w:p w:rsidR="0052466F" w:rsidRPr="003E2FCA" w:rsidRDefault="0052466F" w:rsidP="005246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-charakteryzuje  koszty i przychody wynikające z wekslowych rozliczeń z kontrahentami</w:t>
            </w:r>
          </w:p>
          <w:p w:rsidR="0052466F" w:rsidRPr="003E2FCA" w:rsidRDefault="0052466F" w:rsidP="005246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-objaśnia pojęcie dyskonta z tytułu wykupu przez bank weksla przed terminem płatności</w:t>
            </w:r>
          </w:p>
          <w:p w:rsidR="0052466F" w:rsidRPr="003E2FCA" w:rsidRDefault="0052466F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0E37" w:rsidRPr="003E2FCA" w:rsidRDefault="00650E37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-charakteryzuje  formy rozliczeń gotówkowych i bezgotówkowych</w:t>
            </w:r>
          </w:p>
          <w:p w:rsidR="00650E37" w:rsidRPr="003E2FCA" w:rsidRDefault="0052466F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0E37" w:rsidRPr="003E2FCA">
              <w:rPr>
                <w:rFonts w:ascii="Times New Roman" w:hAnsi="Times New Roman" w:cs="Times New Roman"/>
                <w:sz w:val="20"/>
                <w:szCs w:val="20"/>
              </w:rPr>
              <w:t>oblicza koszty i przychody wynikające z transakcji z kontrahentami krajowymi</w:t>
            </w:r>
          </w:p>
          <w:p w:rsidR="00650E37" w:rsidRPr="003E2FCA" w:rsidRDefault="0052466F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0E37" w:rsidRPr="003E2FCA">
              <w:rPr>
                <w:rFonts w:ascii="Times New Roman" w:hAnsi="Times New Roman" w:cs="Times New Roman"/>
                <w:sz w:val="20"/>
                <w:szCs w:val="20"/>
              </w:rPr>
              <w:t>oblicza odsetki za opóźnienie w transakcjach handlowych</w:t>
            </w:r>
          </w:p>
          <w:p w:rsidR="00650E37" w:rsidRPr="003E2FCA" w:rsidRDefault="00650E37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rozróżnia rodzaje weksli i pojęcia z obrotu wekslowego</w:t>
            </w:r>
          </w:p>
          <w:p w:rsidR="00650E37" w:rsidRPr="003E2FCA" w:rsidRDefault="0052466F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0E37" w:rsidRPr="003E2FCA">
              <w:rPr>
                <w:rFonts w:ascii="Times New Roman" w:hAnsi="Times New Roman" w:cs="Times New Roman"/>
                <w:sz w:val="20"/>
                <w:szCs w:val="20"/>
              </w:rPr>
              <w:t>oblicza koszty i przychody wynikające z wekslowych rozliczeń z kontrahentami</w:t>
            </w:r>
          </w:p>
          <w:p w:rsidR="00650E37" w:rsidRPr="003E2FCA" w:rsidRDefault="0052466F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0E37" w:rsidRPr="003E2FCA">
              <w:rPr>
                <w:rFonts w:ascii="Times New Roman" w:hAnsi="Times New Roman" w:cs="Times New Roman"/>
                <w:sz w:val="20"/>
                <w:szCs w:val="20"/>
              </w:rPr>
              <w:t>oblicza kwotę dyskonta z tytułu wykupu przez bank weksla przed terminem płatności</w:t>
            </w:r>
          </w:p>
          <w:p w:rsidR="00650E37" w:rsidRPr="003E2FCA" w:rsidRDefault="00650E37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50E37" w:rsidRPr="003E2FCA" w:rsidRDefault="00650E37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-dobiera formy rozliczeń gotówkowych i bezgotówkowych do rodzaju transakcji</w:t>
            </w:r>
          </w:p>
          <w:p w:rsidR="00650E37" w:rsidRPr="003E2FCA" w:rsidRDefault="00650E37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-oblicza koszty i przychody wynikające z transakcji z kontrahentami zagranicznymi</w:t>
            </w:r>
          </w:p>
          <w:p w:rsidR="0052466F" w:rsidRPr="003E2FCA" w:rsidRDefault="0052466F" w:rsidP="005246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-oblicza odsetki za opóźnienie w transakcjach handlowych</w:t>
            </w:r>
          </w:p>
          <w:p w:rsidR="00650E37" w:rsidRPr="003E2FCA" w:rsidRDefault="0052466F" w:rsidP="005246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-interpretuje postanowienia zawarte w dokumentach transakcji przeterminowanych,</w:t>
            </w:r>
          </w:p>
          <w:p w:rsidR="0052466F" w:rsidRPr="003E2FCA" w:rsidRDefault="0052466F" w:rsidP="005246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 oblicza i interpretuje koszty i przychody wynikające z wekslowych rozliczeń z kontrahentami</w:t>
            </w:r>
          </w:p>
          <w:p w:rsidR="0052466F" w:rsidRDefault="0052466F" w:rsidP="00B449C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-oblicza i interpretuje kwotę dyskonta z tytułu wykupu przez bank weksla przed terminem płatnośc</w:t>
            </w:r>
            <w:r w:rsidR="00B449C3" w:rsidRPr="003E2F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E72DA7" w:rsidRPr="003E2FCA" w:rsidRDefault="00E72DA7" w:rsidP="00B449C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650E37" w:rsidRPr="003E2FCA" w:rsidRDefault="0052466F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 spełnia wymagania przewidziane na ocenę bardzo dobrą, a ponadto:</w:t>
            </w:r>
          </w:p>
          <w:p w:rsidR="0052466F" w:rsidRPr="003E2FCA" w:rsidRDefault="0052466F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 xml:space="preserve">-sprawnie  posługuje sie przepisami prawa w zakresie obowiązujących treści kształcenia </w:t>
            </w:r>
          </w:p>
          <w:p w:rsidR="0052466F" w:rsidRPr="003E2FCA" w:rsidRDefault="0052466F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E37" w:rsidRPr="003E2FCA" w:rsidTr="00650E37">
        <w:tc>
          <w:tcPr>
            <w:tcW w:w="14567" w:type="dxa"/>
            <w:gridSpan w:val="8"/>
          </w:tcPr>
          <w:p w:rsidR="00650E37" w:rsidRPr="003E2FCA" w:rsidRDefault="00E72DA7" w:rsidP="00650E3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II. </w:t>
            </w:r>
            <w:r w:rsidRPr="00E72DA7">
              <w:rPr>
                <w:rFonts w:ascii="Times New Roman" w:hAnsi="Times New Roman" w:cs="Times New Roman"/>
                <w:b/>
                <w:sz w:val="24"/>
                <w:szCs w:val="20"/>
              </w:rPr>
              <w:t>WSPÓŁPRACA PODMIOTU GOSPODARCZEGO Z BANKIEM</w:t>
            </w:r>
          </w:p>
        </w:tc>
      </w:tr>
      <w:tr w:rsidR="00650E37" w:rsidRPr="003E2FCA" w:rsidTr="00B449C3">
        <w:tc>
          <w:tcPr>
            <w:tcW w:w="2943" w:type="dxa"/>
            <w:gridSpan w:val="2"/>
          </w:tcPr>
          <w:p w:rsidR="00650E37" w:rsidRPr="003E2FCA" w:rsidRDefault="0058105B" w:rsidP="008C5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-wymienia rodzaje rachunków bankowych</w:t>
            </w:r>
          </w:p>
          <w:p w:rsidR="0058105B" w:rsidRPr="003E2FCA" w:rsidRDefault="0058105B" w:rsidP="008C5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 zna pojęcie i rodzaje kredytów bankowych</w:t>
            </w:r>
          </w:p>
          <w:p w:rsidR="0058105B" w:rsidRPr="003E2FCA" w:rsidRDefault="0058105B" w:rsidP="005810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 xml:space="preserve">-zna pojęcia: usługa factoringu, usługa forfaitingu, usługa udzielenia gwarancji przez bank </w:t>
            </w:r>
          </w:p>
          <w:p w:rsidR="0058105B" w:rsidRPr="003E2FCA" w:rsidRDefault="0058105B" w:rsidP="005810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-wymienia rodzaje operacji bankowych</w:t>
            </w:r>
          </w:p>
          <w:p w:rsidR="0058105B" w:rsidRPr="003E2FCA" w:rsidRDefault="0058105B" w:rsidP="005810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-definiuje koszt usługi factoringu, forfaitingu i gwarancji świadczonej przez bank</w:t>
            </w:r>
          </w:p>
          <w:p w:rsidR="0058105B" w:rsidRPr="003E2FCA" w:rsidRDefault="0058105B" w:rsidP="0058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Wymienia elementy całkowitego kosztu kredytu bankowego</w:t>
            </w:r>
          </w:p>
        </w:tc>
        <w:tc>
          <w:tcPr>
            <w:tcW w:w="3119" w:type="dxa"/>
          </w:tcPr>
          <w:p w:rsidR="0058105B" w:rsidRPr="003E2FCA" w:rsidRDefault="0058105B" w:rsidP="005810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-rozróżnia rodzaje rachunków bankowych</w:t>
            </w:r>
          </w:p>
          <w:p w:rsidR="0058105B" w:rsidRPr="003E2FCA" w:rsidRDefault="0058105B" w:rsidP="005810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 xml:space="preserve">-charakteryzuje poszczególne rodzaje kredytów bankowych </w:t>
            </w:r>
          </w:p>
          <w:p w:rsidR="0058105B" w:rsidRPr="003E2FCA" w:rsidRDefault="0058105B" w:rsidP="005810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 xml:space="preserve">-definiuje pojęcia: usługa factoringu, usługa forfaitingu, usługa udzielenia gwarancji przez bank </w:t>
            </w:r>
          </w:p>
          <w:p w:rsidR="0058105B" w:rsidRPr="003E2FCA" w:rsidRDefault="0058105B" w:rsidP="005810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-charakteryzuje rodzaje operacji bankowych na podstawie wyciągu bankowego</w:t>
            </w:r>
          </w:p>
          <w:p w:rsidR="0058105B" w:rsidRPr="003E2FCA" w:rsidRDefault="0058105B" w:rsidP="005810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-zna zasady obliczania kosztu usługi factoringu, forfaitingu i gwarancji świadczonej przez bank</w:t>
            </w:r>
          </w:p>
          <w:p w:rsidR="00650E37" w:rsidRPr="003E2FCA" w:rsidRDefault="0058105B" w:rsidP="0058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-zna zasady obliczania całkowitego kosztu kredytu bankowego</w:t>
            </w:r>
          </w:p>
        </w:tc>
        <w:tc>
          <w:tcPr>
            <w:tcW w:w="3118" w:type="dxa"/>
            <w:gridSpan w:val="2"/>
          </w:tcPr>
          <w:p w:rsidR="0058105B" w:rsidRPr="003E2FCA" w:rsidRDefault="0058105B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-charakteryzuje poszczególne rodzaje rachunków bankowych</w:t>
            </w:r>
          </w:p>
          <w:p w:rsidR="00650E37" w:rsidRPr="003E2FCA" w:rsidRDefault="0058105B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50E37" w:rsidRPr="003E2FCA">
              <w:rPr>
                <w:rFonts w:ascii="Times New Roman" w:hAnsi="Times New Roman" w:cs="Times New Roman"/>
                <w:sz w:val="20"/>
                <w:szCs w:val="20"/>
              </w:rPr>
              <w:t>rozróżnia rodzaje kredytów bankowych</w:t>
            </w: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 xml:space="preserve"> w zależności od przedmiotu finansowania</w:t>
            </w:r>
          </w:p>
          <w:p w:rsidR="00650E37" w:rsidRPr="003E2FCA" w:rsidRDefault="0058105B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0E37" w:rsidRPr="003E2FCA">
              <w:rPr>
                <w:rFonts w:ascii="Times New Roman" w:hAnsi="Times New Roman" w:cs="Times New Roman"/>
                <w:sz w:val="20"/>
                <w:szCs w:val="20"/>
              </w:rPr>
              <w:t xml:space="preserve"> identyfikuje pojęcia: usługa factoringu, usługa forfaitingu, usługa udzielenia gwarancji przez bank </w:t>
            </w:r>
          </w:p>
          <w:p w:rsidR="00650E37" w:rsidRPr="003E2FCA" w:rsidRDefault="00650E37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określa operacje powodujące zmiany na rachunkach bankowych na podstawie wyciągu bankowego</w:t>
            </w:r>
          </w:p>
          <w:p w:rsidR="00650E37" w:rsidRPr="003E2FCA" w:rsidRDefault="00650E37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oblicza koszt usługi factoringu, forfaitingu i gwarancji świadczonej przez bank</w:t>
            </w:r>
          </w:p>
          <w:p w:rsidR="00B449C3" w:rsidRPr="003E2FCA" w:rsidRDefault="0058105B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0E37" w:rsidRPr="003E2FCA">
              <w:rPr>
                <w:rFonts w:ascii="Times New Roman" w:hAnsi="Times New Roman" w:cs="Times New Roman"/>
                <w:sz w:val="20"/>
                <w:szCs w:val="20"/>
              </w:rPr>
              <w:t xml:space="preserve">oblicza całkowity koszt kredytu bankowego z uwzględnieniem różnych składników, np. odsetek prostych, odsetek skapitalizowanych, </w:t>
            </w:r>
          </w:p>
          <w:p w:rsidR="00B449C3" w:rsidRPr="003E2FCA" w:rsidRDefault="00B449C3" w:rsidP="00B449C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-ocenia ofert kredytowe różnych banków</w:t>
            </w:r>
            <w:r w:rsidR="00650E37" w:rsidRPr="003E2FCA">
              <w:rPr>
                <w:rFonts w:ascii="Times New Roman" w:hAnsi="Times New Roman" w:cs="Times New Roman"/>
                <w:sz w:val="20"/>
                <w:szCs w:val="20"/>
              </w:rPr>
              <w:t xml:space="preserve"> kredytową na podstawie </w:t>
            </w: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z punktu widzenia kosztu całkowitego kredytu</w:t>
            </w:r>
          </w:p>
          <w:p w:rsidR="00650E37" w:rsidRPr="003E2FCA" w:rsidRDefault="00B449C3" w:rsidP="00B449C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0E37" w:rsidRPr="003E2FCA">
              <w:rPr>
                <w:rFonts w:ascii="Times New Roman" w:hAnsi="Times New Roman" w:cs="Times New Roman"/>
                <w:sz w:val="20"/>
                <w:szCs w:val="20"/>
              </w:rPr>
              <w:t>oblicza odsetki od lokat terminowych</w:t>
            </w:r>
          </w:p>
        </w:tc>
        <w:tc>
          <w:tcPr>
            <w:tcW w:w="3402" w:type="dxa"/>
            <w:gridSpan w:val="2"/>
          </w:tcPr>
          <w:p w:rsidR="00650E37" w:rsidRPr="003E2FCA" w:rsidRDefault="0058105B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 xml:space="preserve">- charakteryzuje poszczególne rodzaje rachunków bankowych uzasadnia prowadzenie danego rachunku  </w:t>
            </w:r>
          </w:p>
          <w:p w:rsidR="0058105B" w:rsidRPr="003E2FCA" w:rsidRDefault="0058105B" w:rsidP="005810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 dobiera odpowiedni rodzaj kredytu do rodzaju kredytowanego przedsięwzięcia</w:t>
            </w:r>
          </w:p>
          <w:p w:rsidR="0058105B" w:rsidRPr="003E2FCA" w:rsidRDefault="0058105B" w:rsidP="005810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 xml:space="preserve">-charakteryzuje pojęcia: usługa factoringu, usługa forfaitingu, usługa udzielenia gwarancji przez bank </w:t>
            </w:r>
          </w:p>
          <w:p w:rsidR="0058105B" w:rsidRPr="003E2FCA" w:rsidRDefault="0058105B" w:rsidP="005810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-interpretuje zapisy wyciągu bankowego</w:t>
            </w:r>
          </w:p>
          <w:p w:rsidR="0058105B" w:rsidRPr="003E2FCA" w:rsidRDefault="0058105B" w:rsidP="005810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oblicza całkowity koszt kredytu bankowego z uwzględnieniem różnych składników, np. odsetek prostych, odsetek skapitalizowanych, prowizji bankowych, kosztów manipulacyjnych</w:t>
            </w:r>
          </w:p>
          <w:p w:rsidR="00B449C3" w:rsidRPr="003E2FCA" w:rsidRDefault="00B449C3" w:rsidP="00B449C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wybiera najkorzystniejszą ofertę kredytową na podstawie podanych ofert kilku banków</w:t>
            </w:r>
          </w:p>
          <w:p w:rsidR="0058105B" w:rsidRPr="003E2FCA" w:rsidRDefault="00B449C3" w:rsidP="00B449C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-oblicza odsetki od lokat terminowych i wybiera najkorzystniejszą ofertę lokowania środków</w:t>
            </w:r>
          </w:p>
        </w:tc>
        <w:tc>
          <w:tcPr>
            <w:tcW w:w="1985" w:type="dxa"/>
          </w:tcPr>
          <w:p w:rsidR="00B449C3" w:rsidRPr="003E2FCA" w:rsidRDefault="00B449C3" w:rsidP="00B449C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 spełnia wymagania przewidziane na ocenę bardzo dobrą, a ponadto:</w:t>
            </w:r>
          </w:p>
          <w:p w:rsidR="00650E37" w:rsidRPr="003E2FCA" w:rsidRDefault="00B449C3" w:rsidP="00650E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E2FCA">
              <w:rPr>
                <w:rFonts w:ascii="Times New Roman" w:hAnsi="Times New Roman" w:cs="Times New Roman"/>
                <w:sz w:val="20"/>
                <w:szCs w:val="20"/>
              </w:rPr>
              <w:t>-kompleksowo prowadzi gospodarkę finansową jednostki w zakresie współpracy z baniem</w:t>
            </w:r>
          </w:p>
        </w:tc>
      </w:tr>
    </w:tbl>
    <w:p w:rsidR="00E72DA7" w:rsidRPr="00E72DA7" w:rsidRDefault="00E72DA7" w:rsidP="00E72DA7">
      <w:pPr>
        <w:rPr>
          <w:rFonts w:ascii="Times New Roman" w:hAnsi="Times New Roman" w:cs="Times New Roman"/>
          <w:b/>
          <w:sz w:val="24"/>
          <w:szCs w:val="20"/>
        </w:rPr>
      </w:pPr>
      <w:r w:rsidRPr="00E72DA7">
        <w:rPr>
          <w:rFonts w:ascii="Times New Roman" w:hAnsi="Times New Roman" w:cs="Times New Roman"/>
          <w:b/>
          <w:sz w:val="24"/>
          <w:szCs w:val="20"/>
        </w:rPr>
        <w:t>Kryteria oceniania są zgodne ze statutem szkoły. Ocena końcowa jest oceną wystawianą przez nauczyciela</w:t>
      </w:r>
    </w:p>
    <w:p w:rsidR="0005494C" w:rsidRPr="003E2FCA" w:rsidRDefault="00E72DA7">
      <w:pPr>
        <w:rPr>
          <w:rFonts w:ascii="Times New Roman" w:hAnsi="Times New Roman" w:cs="Times New Roman"/>
          <w:sz w:val="20"/>
          <w:szCs w:val="20"/>
        </w:rPr>
      </w:pPr>
    </w:p>
    <w:sectPr w:rsidR="0005494C" w:rsidRPr="003E2FCA" w:rsidSect="0052466F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65DD"/>
    <w:multiLevelType w:val="hybridMultilevel"/>
    <w:tmpl w:val="05669AC8"/>
    <w:lvl w:ilvl="0" w:tplc="B4BE80C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BA1334"/>
    <w:multiLevelType w:val="hybridMultilevel"/>
    <w:tmpl w:val="A1AE06A8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0E37"/>
    <w:rsid w:val="00054C75"/>
    <w:rsid w:val="001861A4"/>
    <w:rsid w:val="002642BC"/>
    <w:rsid w:val="003E2FCA"/>
    <w:rsid w:val="004A7278"/>
    <w:rsid w:val="0052466F"/>
    <w:rsid w:val="0058105B"/>
    <w:rsid w:val="00650E37"/>
    <w:rsid w:val="009D3B14"/>
    <w:rsid w:val="00A225BA"/>
    <w:rsid w:val="00A26375"/>
    <w:rsid w:val="00AC524B"/>
    <w:rsid w:val="00B449C3"/>
    <w:rsid w:val="00B92F9A"/>
    <w:rsid w:val="00E72DA7"/>
    <w:rsid w:val="00F9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0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650E37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650E37"/>
  </w:style>
  <w:style w:type="paragraph" w:styleId="Bezodstpw">
    <w:name w:val="No Spacing"/>
    <w:uiPriority w:val="1"/>
    <w:qFormat/>
    <w:rsid w:val="00650E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4</cp:revision>
  <dcterms:created xsi:type="dcterms:W3CDTF">2021-09-28T18:39:00Z</dcterms:created>
  <dcterms:modified xsi:type="dcterms:W3CDTF">2021-10-09T14:56:00Z</dcterms:modified>
</cp:coreProperties>
</file>